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Příloha č. 6 zadávací dokumentace – Závazný návrh smlouvy o dílo</w:t>
      </w:r>
    </w:p>
    <w:p>
      <w:pPr>
        <w:pStyle w:val="Normal"/>
        <w:jc w:val="center"/>
        <w:rPr>
          <w:b/>
          <w:b/>
          <w:sz w:val="30"/>
          <w:szCs w:val="30"/>
        </w:rPr>
      </w:pPr>
      <w:r>
        <w:rPr>
          <w:b/>
          <w:sz w:val="30"/>
          <w:szCs w:val="30"/>
        </w:rPr>
      </w:r>
    </w:p>
    <w:p>
      <w:pPr>
        <w:pStyle w:val="Normal"/>
        <w:jc w:val="center"/>
        <w:rPr>
          <w:b/>
          <w:b/>
          <w:sz w:val="30"/>
          <w:szCs w:val="30"/>
        </w:rPr>
      </w:pPr>
      <w:r>
        <w:rPr>
          <w:b/>
          <w:sz w:val="30"/>
          <w:szCs w:val="30"/>
        </w:rPr>
      </w:r>
    </w:p>
    <w:p>
      <w:pPr>
        <w:pStyle w:val="Normal"/>
        <w:jc w:val="center"/>
        <w:rPr>
          <w:b/>
          <w:b/>
          <w:sz w:val="30"/>
          <w:szCs w:val="30"/>
        </w:rPr>
      </w:pPr>
      <w:r>
        <w:rPr>
          <w:b/>
          <w:sz w:val="30"/>
          <w:szCs w:val="30"/>
        </w:rPr>
        <w:t xml:space="preserve">SMLOUVA O DÍLO </w:t>
      </w:r>
    </w:p>
    <w:p>
      <w:pPr>
        <w:pStyle w:val="Normal"/>
        <w:jc w:val="center"/>
        <w:rPr>
          <w:sz w:val="20"/>
          <w:szCs w:val="20"/>
        </w:rPr>
      </w:pPr>
      <w:r>
        <w:rPr>
          <w:sz w:val="20"/>
          <w:szCs w:val="20"/>
        </w:rPr>
        <w:t>uzavřená dle ustanovení § 2586 a násl. zákona č. 89/2012 Sb., občanský zákoník, v platném znění (dále jen „OZ“) a dle zákona č. 134/2016 Sb., o zadávání veřejných zakázek, v platném znění (dále jen „ZZVZ“)</w:t>
      </w:r>
    </w:p>
    <w:p>
      <w:pPr>
        <w:pStyle w:val="BodyText2"/>
        <w:rPr>
          <w:rFonts w:ascii="Times New Roman" w:hAnsi="Times New Roman" w:cs="Times New Roman"/>
          <w:bCs/>
          <w:sz w:val="22"/>
          <w:szCs w:val="22"/>
        </w:rPr>
      </w:pPr>
      <w:r>
        <w:rPr>
          <w:rFonts w:cs="Times New Roman" w:ascii="Times New Roman" w:hAnsi="Times New Roman"/>
          <w:bCs/>
          <w:sz w:val="22"/>
          <w:szCs w:val="22"/>
        </w:rPr>
      </w:r>
    </w:p>
    <w:p>
      <w:pPr>
        <w:pStyle w:val="Normal"/>
        <w:rPr>
          <w:b/>
          <w:b/>
          <w:sz w:val="22"/>
          <w:szCs w:val="22"/>
        </w:rPr>
      </w:pPr>
      <w:r>
        <w:rPr>
          <w:b/>
          <w:sz w:val="22"/>
          <w:szCs w:val="22"/>
        </w:rPr>
      </w:r>
    </w:p>
    <w:p>
      <w:pPr>
        <w:pStyle w:val="ListParagraph"/>
        <w:numPr>
          <w:ilvl w:val="0"/>
          <w:numId w:val="2"/>
        </w:numPr>
        <w:spacing w:lineRule="auto" w:line="276"/>
        <w:ind w:left="360" w:hanging="360"/>
        <w:rPr>
          <w:rFonts w:ascii="Times New Roman" w:hAnsi="Times New Roman" w:cs="Times New Roman"/>
          <w:bCs/>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Nemocnice Pardubického kraje, a.s.</w:t>
      </w:r>
    </w:p>
    <w:p>
      <w:pPr>
        <w:pStyle w:val="Odstavec11"/>
        <w:numPr>
          <w:ilvl w:val="0"/>
          <w:numId w:val="0"/>
        </w:numPr>
        <w:spacing w:lineRule="auto" w:line="276" w:before="0" w:after="0"/>
        <w:ind w:left="426" w:hanging="0"/>
        <w:rPr>
          <w:rFonts w:ascii="Times New Roman" w:hAnsi="Times New Roman"/>
          <w:bCs/>
          <w:sz w:val="22"/>
          <w:szCs w:val="22"/>
        </w:rPr>
      </w:pPr>
      <w:r>
        <w:rPr>
          <w:rFonts w:ascii="Times New Roman" w:hAnsi="Times New Roman"/>
          <w:sz w:val="22"/>
          <w:szCs w:val="22"/>
        </w:rPr>
        <w:t>Sídlo:</w:t>
        <w:tab/>
        <w:tab/>
        <w:t>Kyjevská 44, 532 03 Pardubice</w:t>
      </w:r>
    </w:p>
    <w:p>
      <w:pPr>
        <w:pStyle w:val="Odstavec11"/>
        <w:numPr>
          <w:ilvl w:val="0"/>
          <w:numId w:val="0"/>
        </w:numPr>
        <w:spacing w:lineRule="auto" w:line="276" w:before="0" w:after="0"/>
        <w:ind w:left="426" w:hanging="0"/>
        <w:rPr>
          <w:rFonts w:ascii="Times New Roman" w:hAnsi="Times New Roman"/>
          <w:sz w:val="22"/>
          <w:szCs w:val="22"/>
        </w:rPr>
      </w:pPr>
      <w:r>
        <w:rPr>
          <w:rFonts w:ascii="Times New Roman" w:hAnsi="Times New Roman"/>
          <w:sz w:val="22"/>
          <w:szCs w:val="22"/>
        </w:rPr>
        <w:t>Zastoupená:</w:t>
        <w:tab/>
        <w:t xml:space="preserve">MUDr. Tomášem Gottvaldem, MHA, předsedou představenstva </w:t>
      </w:r>
    </w:p>
    <w:p>
      <w:pPr>
        <w:pStyle w:val="Normal"/>
        <w:spacing w:lineRule="auto" w:line="276"/>
        <w:ind w:left="1419" w:firstLine="708"/>
        <w:rPr>
          <w:sz w:val="22"/>
          <w:szCs w:val="22"/>
        </w:rPr>
      </w:pPr>
      <w:r>
        <w:rPr>
          <w:sz w:val="22"/>
          <w:szCs w:val="22"/>
        </w:rPr>
        <w:t>Ing. Františkem Lešundákem, místopředsedou představenstva</w:t>
      </w:r>
    </w:p>
    <w:p>
      <w:pPr>
        <w:pStyle w:val="Normal"/>
        <w:tabs>
          <w:tab w:val="clear" w:pos="709"/>
          <w:tab w:val="left" w:pos="284" w:leader="none"/>
          <w:tab w:val="left" w:pos="1134" w:leader="none"/>
        </w:tabs>
        <w:spacing w:lineRule="auto" w:line="276"/>
        <w:ind w:left="426" w:hanging="0"/>
        <w:rPr>
          <w:sz w:val="22"/>
          <w:szCs w:val="22"/>
        </w:rPr>
      </w:pPr>
      <w:r>
        <w:rPr>
          <w:sz w:val="22"/>
          <w:szCs w:val="22"/>
        </w:rPr>
        <w:t>bankovní spojení:</w:t>
        <w:tab/>
        <w:t xml:space="preserve">Československá obchodní banka, a.s. </w:t>
      </w:r>
    </w:p>
    <w:p>
      <w:pPr>
        <w:pStyle w:val="Normal"/>
        <w:spacing w:lineRule="auto" w:line="276"/>
        <w:ind w:left="426" w:hanging="0"/>
        <w:rPr>
          <w:sz w:val="22"/>
          <w:szCs w:val="22"/>
        </w:rPr>
      </w:pPr>
      <w:r>
        <w:rPr>
          <w:sz w:val="22"/>
          <w:szCs w:val="22"/>
        </w:rPr>
        <w:t>číslo účtu:</w:t>
        <w:tab/>
        <w:tab/>
        <w:t>280123725/0300</w:t>
      </w:r>
    </w:p>
    <w:p>
      <w:pPr>
        <w:pStyle w:val="Odstavec11"/>
        <w:numPr>
          <w:ilvl w:val="0"/>
          <w:numId w:val="0"/>
        </w:numPr>
        <w:spacing w:lineRule="auto" w:line="276" w:before="0" w:after="0"/>
        <w:ind w:left="426" w:hanging="0"/>
        <w:rPr>
          <w:rFonts w:ascii="Times New Roman" w:hAnsi="Times New Roman"/>
          <w:sz w:val="22"/>
          <w:szCs w:val="22"/>
        </w:rPr>
      </w:pPr>
      <w:r>
        <w:rPr>
          <w:rFonts w:ascii="Times New Roman" w:hAnsi="Times New Roman"/>
          <w:sz w:val="22"/>
          <w:szCs w:val="22"/>
        </w:rPr>
        <w:t>IČO:</w:t>
        <w:tab/>
        <w:tab/>
      </w:r>
      <w:r>
        <w:rPr>
          <w:rFonts w:ascii="Times New Roman" w:hAnsi="Times New Roman"/>
          <w:bCs/>
          <w:sz w:val="22"/>
          <w:szCs w:val="22"/>
        </w:rPr>
        <w:t>27520536</w:t>
      </w:r>
    </w:p>
    <w:p>
      <w:pPr>
        <w:pStyle w:val="Normal"/>
        <w:spacing w:lineRule="auto" w:line="276"/>
        <w:ind w:firstLine="426"/>
        <w:rPr>
          <w:sz w:val="22"/>
          <w:szCs w:val="22"/>
        </w:rPr>
      </w:pPr>
      <w:r>
        <w:rPr>
          <w:sz w:val="22"/>
          <w:szCs w:val="22"/>
        </w:rPr>
        <w:t>DIČ:</w:t>
        <w:tab/>
        <w:tab/>
        <w:t>CZ27520536</w:t>
      </w:r>
    </w:p>
    <w:p>
      <w:pPr>
        <w:pStyle w:val="NoSpacing"/>
        <w:spacing w:lineRule="auto" w:line="276"/>
        <w:ind w:left="426" w:hanging="0"/>
        <w:jc w:val="both"/>
        <w:rPr>
          <w:rFonts w:ascii="Times New Roman" w:hAnsi="Times New Roman" w:cs="Times New Roman"/>
        </w:rPr>
      </w:pPr>
      <w:r>
        <w:rPr>
          <w:rFonts w:cs="Times New Roman" w:ascii="Times New Roman" w:hAnsi="Times New Roman"/>
        </w:rPr>
        <w:t>zapsaná v obchodním rejstříku vedeném u Krajského soudu v Hradci Králové, oddíl B, vložka 2629</w:t>
      </w:r>
    </w:p>
    <w:p>
      <w:pPr>
        <w:pStyle w:val="Normal"/>
        <w:spacing w:lineRule="auto" w:line="276"/>
        <w:ind w:firstLine="426"/>
        <w:rPr>
          <w:sz w:val="22"/>
          <w:szCs w:val="22"/>
        </w:rPr>
      </w:pPr>
      <w:r>
        <w:rPr>
          <w:sz w:val="22"/>
          <w:szCs w:val="22"/>
        </w:rPr>
        <w:t>Kontaktní osoba ve věcech technických:</w:t>
      </w:r>
    </w:p>
    <w:p>
      <w:pPr>
        <w:pStyle w:val="Normal"/>
        <w:spacing w:lineRule="auto" w:line="276"/>
        <w:ind w:left="426" w:hanging="0"/>
        <w:rPr>
          <w:sz w:val="22"/>
          <w:szCs w:val="22"/>
        </w:rPr>
      </w:pPr>
      <w:r>
        <w:rPr>
          <w:sz w:val="22"/>
          <w:szCs w:val="22"/>
        </w:rPr>
        <w:t>Fax:</w:t>
      </w:r>
    </w:p>
    <w:p>
      <w:pPr>
        <w:pStyle w:val="Normal"/>
        <w:spacing w:lineRule="auto" w:line="276"/>
        <w:ind w:left="426" w:hanging="0"/>
        <w:rPr>
          <w:sz w:val="22"/>
          <w:szCs w:val="22"/>
        </w:rPr>
      </w:pPr>
      <w:r>
        <w:rPr>
          <w:sz w:val="22"/>
          <w:szCs w:val="22"/>
        </w:rPr>
        <w:t>ID datové schránky:</w:t>
      </w:r>
    </w:p>
    <w:p>
      <w:pPr>
        <w:pStyle w:val="Normal"/>
        <w:tabs>
          <w:tab w:val="clear" w:pos="709"/>
          <w:tab w:val="left" w:pos="426" w:leader="none"/>
        </w:tabs>
        <w:spacing w:lineRule="auto" w:line="276"/>
        <w:rPr>
          <w:sz w:val="22"/>
          <w:szCs w:val="22"/>
        </w:rPr>
      </w:pPr>
      <w:r>
        <w:rPr>
          <w:sz w:val="22"/>
          <w:szCs w:val="22"/>
        </w:rPr>
        <w:t>dále jen „objednatel“ na straně jedné</w:t>
      </w:r>
    </w:p>
    <w:p>
      <w:pPr>
        <w:pStyle w:val="Normal"/>
        <w:tabs>
          <w:tab w:val="clear" w:pos="709"/>
          <w:tab w:val="left" w:pos="284" w:leader="none"/>
        </w:tabs>
        <w:rPr>
          <w:sz w:val="22"/>
          <w:szCs w:val="22"/>
        </w:rPr>
      </w:pPr>
      <w:r>
        <w:rPr>
          <w:sz w:val="22"/>
          <w:szCs w:val="22"/>
        </w:rPr>
      </w:r>
    </w:p>
    <w:p>
      <w:pPr>
        <w:pStyle w:val="Normal"/>
        <w:rPr>
          <w:sz w:val="22"/>
          <w:szCs w:val="22"/>
        </w:rPr>
      </w:pPr>
      <w:r>
        <w:rPr>
          <w:sz w:val="22"/>
          <w:szCs w:val="22"/>
        </w:rPr>
        <w:t>a</w:t>
      </w:r>
    </w:p>
    <w:p>
      <w:pPr>
        <w:pStyle w:val="Normal"/>
        <w:rPr>
          <w:sz w:val="22"/>
          <w:szCs w:val="22"/>
        </w:rPr>
      </w:pPr>
      <w:r>
        <w:rPr>
          <w:sz w:val="22"/>
          <w:szCs w:val="22"/>
        </w:rPr>
      </w:r>
    </w:p>
    <w:p>
      <w:pPr>
        <w:pStyle w:val="ListParagraph"/>
        <w:numPr>
          <w:ilvl w:val="0"/>
          <w:numId w:val="2"/>
        </w:numPr>
        <w:spacing w:lineRule="auto" w:line="276"/>
        <w:ind w:left="426" w:hanging="426"/>
        <w:rPr>
          <w:rFonts w:ascii="Times New Roman" w:hAnsi="Times New Roman" w:cs="Times New Roman"/>
          <w:bCs/>
          <w:szCs w:val="22"/>
        </w:rPr>
      </w:pPr>
      <w:r>
        <w:rPr>
          <w:rFonts w:cs="Times New Roman" w:ascii="Times New Roman" w:hAnsi="Times New Roman"/>
          <w:bCs/>
          <w:szCs w:val="22"/>
          <w:shd w:fill="FFFFCC" w:val="clear"/>
        </w:rPr>
        <w:t>……………………………………</w:t>
      </w:r>
      <w:r>
        <w:rPr>
          <w:rFonts w:cs="Times New Roman" w:ascii="Times New Roman" w:hAnsi="Times New Roman"/>
          <w:bCs/>
          <w:szCs w:val="22"/>
          <w:shd w:fill="FFFFCC" w:val="clear"/>
        </w:rPr>
        <w:t>..</w:t>
      </w:r>
      <w:r>
        <w:rPr>
          <w:rFonts w:cs="Times New Roman" w:ascii="Times New Roman" w:hAnsi="Times New Roman"/>
          <w:bCs/>
          <w:szCs w:val="22"/>
        </w:rPr>
        <w:t xml:space="preserve"> </w:t>
      </w:r>
      <w:r>
        <w:rPr>
          <w:rFonts w:cs="Times New Roman" w:ascii="Times New Roman" w:hAnsi="Times New Roman"/>
          <w:bCs/>
          <w:sz w:val="20"/>
          <w:szCs w:val="20"/>
        </w:rPr>
        <w:t>(doplní účastník)</w:t>
      </w:r>
    </w:p>
    <w:p>
      <w:pPr>
        <w:pStyle w:val="Odstavec11"/>
        <w:numPr>
          <w:ilvl w:val="0"/>
          <w:numId w:val="0"/>
        </w:numPr>
        <w:tabs>
          <w:tab w:val="clear" w:pos="709"/>
          <w:tab w:val="left" w:pos="1701" w:leader="none"/>
          <w:tab w:val="left" w:pos="2127" w:leader="none"/>
          <w:tab w:val="left" w:pos="3544" w:leader="none"/>
        </w:tabs>
        <w:spacing w:lineRule="auto" w:line="276" w:before="0" w:after="0"/>
        <w:ind w:left="426" w:hanging="0"/>
        <w:rPr>
          <w:rFonts w:ascii="Times New Roman" w:hAnsi="Times New Roman"/>
          <w:bCs/>
          <w:sz w:val="22"/>
          <w:szCs w:val="22"/>
        </w:rPr>
      </w:pPr>
      <w:r>
        <w:rPr>
          <w:rFonts w:ascii="Times New Roman" w:hAnsi="Times New Roman"/>
          <w:sz w:val="22"/>
          <w:szCs w:val="22"/>
        </w:rPr>
        <w:t>Sídlo:</w:t>
        <w:tab/>
        <w:tab/>
      </w:r>
      <w:r>
        <w:rPr>
          <w:rFonts w:ascii="Times New Roman" w:hAnsi="Times New Roman"/>
          <w:sz w:val="22"/>
          <w:szCs w:val="22"/>
          <w:shd w:fill="FFFFCC" w:val="clear"/>
        </w:rPr>
        <w:t>………………………………….</w:t>
      </w:r>
      <w:r>
        <w:rPr>
          <w:rFonts w:ascii="Times New Roman" w:hAnsi="Times New Roman"/>
          <w:sz w:val="22"/>
          <w:szCs w:val="22"/>
        </w:rPr>
        <w:t xml:space="preserve"> </w:t>
      </w:r>
      <w:r>
        <w:rPr>
          <w:rFonts w:ascii="Times New Roman" w:hAnsi="Times New Roman"/>
          <w:bCs/>
          <w:szCs w:val="22"/>
        </w:rPr>
        <w:t>(doplní účastník)</w:t>
      </w:r>
      <w:r>
        <w:rPr>
          <w:rFonts w:ascii="Times New Roman" w:hAnsi="Times New Roman"/>
          <w:sz w:val="22"/>
          <w:szCs w:val="22"/>
        </w:rPr>
        <w:tab/>
        <w:tab/>
        <w:tab/>
      </w:r>
    </w:p>
    <w:p>
      <w:pPr>
        <w:pStyle w:val="Odstavec11"/>
        <w:numPr>
          <w:ilvl w:val="0"/>
          <w:numId w:val="0"/>
        </w:numPr>
        <w:tabs>
          <w:tab w:val="clear" w:pos="709"/>
          <w:tab w:val="left" w:pos="1701" w:leader="none"/>
          <w:tab w:val="left" w:pos="2127" w:leader="none"/>
        </w:tabs>
        <w:spacing w:lineRule="auto" w:line="276" w:before="0" w:after="0"/>
        <w:ind w:left="426" w:hanging="0"/>
        <w:rPr>
          <w:rFonts w:ascii="Times New Roman" w:hAnsi="Times New Roman"/>
          <w:sz w:val="22"/>
          <w:szCs w:val="22"/>
        </w:rPr>
      </w:pPr>
      <w:r>
        <w:rPr>
          <w:rFonts w:ascii="Times New Roman" w:hAnsi="Times New Roman"/>
          <w:sz w:val="22"/>
          <w:szCs w:val="22"/>
        </w:rPr>
        <w:t>Zastoupená:</w:t>
        <w:tab/>
        <w:tab/>
      </w:r>
      <w:r>
        <w:rPr>
          <w:rFonts w:ascii="Times New Roman" w:hAnsi="Times New Roman"/>
          <w:sz w:val="22"/>
          <w:szCs w:val="22"/>
          <w:shd w:fill="FFFFCC" w:val="clear"/>
        </w:rPr>
        <w:t>………………………………….</w:t>
      </w:r>
      <w:r>
        <w:rPr>
          <w:rFonts w:ascii="Times New Roman" w:hAnsi="Times New Roman"/>
          <w:sz w:val="22"/>
          <w:szCs w:val="22"/>
        </w:rPr>
        <w:t xml:space="preserve"> </w:t>
      </w:r>
      <w:r>
        <w:rPr>
          <w:rFonts w:ascii="Times New Roman" w:hAnsi="Times New Roman"/>
          <w:bCs/>
          <w:szCs w:val="22"/>
        </w:rPr>
        <w:t>(doplní účastník)</w:t>
      </w:r>
      <w:r>
        <w:rPr>
          <w:rFonts w:ascii="Times New Roman" w:hAnsi="Times New Roman"/>
          <w:sz w:val="22"/>
          <w:szCs w:val="22"/>
        </w:rPr>
        <w:tab/>
        <w:tab/>
        <w:tab/>
      </w:r>
    </w:p>
    <w:p>
      <w:pPr>
        <w:pStyle w:val="Normal"/>
        <w:tabs>
          <w:tab w:val="clear" w:pos="709"/>
          <w:tab w:val="left" w:pos="2127" w:leader="none"/>
        </w:tabs>
        <w:spacing w:lineRule="auto" w:line="276"/>
        <w:ind w:left="426" w:hanging="0"/>
        <w:rPr>
          <w:sz w:val="22"/>
          <w:szCs w:val="22"/>
        </w:rPr>
      </w:pPr>
      <w:r>
        <w:rPr>
          <w:sz w:val="22"/>
          <w:szCs w:val="22"/>
        </w:rPr>
        <w:t>bankovní spojení:</w:t>
        <w:tab/>
      </w:r>
      <w:r>
        <w:rPr>
          <w:sz w:val="22"/>
          <w:szCs w:val="22"/>
          <w:shd w:fill="FFFFCC" w:val="clear"/>
        </w:rPr>
        <w:t>………………………………….</w:t>
      </w:r>
      <w:r>
        <w:rPr>
          <w:sz w:val="22"/>
          <w:szCs w:val="22"/>
        </w:rPr>
        <w:t xml:space="preserve"> </w:t>
      </w:r>
      <w:r>
        <w:rPr>
          <w:bCs/>
          <w:sz w:val="20"/>
          <w:szCs w:val="20"/>
        </w:rPr>
        <w:t>(doplní účastník)</w:t>
      </w:r>
      <w:r>
        <w:rPr>
          <w:sz w:val="22"/>
          <w:szCs w:val="22"/>
        </w:rPr>
        <w:tab/>
        <w:tab/>
      </w:r>
    </w:p>
    <w:p>
      <w:pPr>
        <w:pStyle w:val="Normal"/>
        <w:tabs>
          <w:tab w:val="clear" w:pos="709"/>
          <w:tab w:val="left" w:pos="2127" w:leader="none"/>
        </w:tabs>
        <w:spacing w:lineRule="auto" w:line="276"/>
        <w:ind w:left="426" w:hanging="0"/>
        <w:rPr>
          <w:sz w:val="22"/>
          <w:szCs w:val="22"/>
        </w:rPr>
      </w:pPr>
      <w:r>
        <w:rPr>
          <w:sz w:val="22"/>
          <w:szCs w:val="22"/>
        </w:rPr>
        <w:t>číslo účtu:</w:t>
        <w:tab/>
      </w:r>
      <w:r>
        <w:rPr>
          <w:sz w:val="22"/>
          <w:szCs w:val="22"/>
          <w:shd w:fill="FFFFCC" w:val="clear"/>
        </w:rPr>
        <w:t>………………………………….</w:t>
      </w:r>
      <w:r>
        <w:rPr>
          <w:sz w:val="22"/>
          <w:szCs w:val="22"/>
        </w:rPr>
        <w:t xml:space="preserve"> </w:t>
      </w:r>
      <w:r>
        <w:rPr>
          <w:bCs/>
          <w:sz w:val="20"/>
          <w:szCs w:val="20"/>
        </w:rPr>
        <w:t>(doplní účastník)</w:t>
      </w:r>
      <w:r>
        <w:rPr>
          <w:sz w:val="22"/>
          <w:szCs w:val="22"/>
        </w:rPr>
        <w:tab/>
        <w:tab/>
        <w:tab/>
      </w:r>
    </w:p>
    <w:p>
      <w:pPr>
        <w:pStyle w:val="Odstavec11"/>
        <w:numPr>
          <w:ilvl w:val="0"/>
          <w:numId w:val="0"/>
        </w:numPr>
        <w:tabs>
          <w:tab w:val="clear" w:pos="709"/>
          <w:tab w:val="left" w:pos="1701" w:leader="none"/>
          <w:tab w:val="left" w:pos="2127" w:leader="none"/>
        </w:tabs>
        <w:spacing w:lineRule="auto" w:line="276" w:before="0" w:after="0"/>
        <w:ind w:left="426" w:hanging="0"/>
        <w:rPr>
          <w:rFonts w:ascii="Times New Roman" w:hAnsi="Times New Roman"/>
          <w:sz w:val="22"/>
          <w:szCs w:val="22"/>
        </w:rPr>
      </w:pPr>
      <w:r>
        <w:rPr>
          <w:rFonts w:ascii="Times New Roman" w:hAnsi="Times New Roman"/>
          <w:sz w:val="22"/>
          <w:szCs w:val="22"/>
        </w:rPr>
        <w:t>IČO:</w:t>
        <w:tab/>
        <w:tab/>
      </w:r>
      <w:r>
        <w:rPr>
          <w:rFonts w:ascii="Times New Roman" w:hAnsi="Times New Roman"/>
          <w:sz w:val="22"/>
          <w:szCs w:val="22"/>
          <w:shd w:fill="FFFFCC" w:val="clear"/>
        </w:rPr>
        <w:t>……………………</w:t>
      </w:r>
      <w:r>
        <w:rPr>
          <w:rFonts w:ascii="Times New Roman" w:hAnsi="Times New Roman"/>
          <w:sz w:val="22"/>
          <w:szCs w:val="22"/>
        </w:rPr>
        <w:t xml:space="preserve"> </w:t>
      </w:r>
      <w:r>
        <w:rPr>
          <w:rFonts w:ascii="Times New Roman" w:hAnsi="Times New Roman"/>
          <w:bCs/>
          <w:szCs w:val="20"/>
        </w:rPr>
        <w:t>(doplní účastník)</w:t>
      </w:r>
      <w:r>
        <w:rPr>
          <w:rFonts w:ascii="Times New Roman" w:hAnsi="Times New Roman"/>
          <w:sz w:val="22"/>
          <w:szCs w:val="22"/>
        </w:rPr>
        <w:tab/>
        <w:tab/>
        <w:tab/>
      </w:r>
    </w:p>
    <w:p>
      <w:pPr>
        <w:pStyle w:val="Normal"/>
        <w:tabs>
          <w:tab w:val="clear" w:pos="709"/>
          <w:tab w:val="left" w:pos="2127" w:leader="none"/>
        </w:tabs>
        <w:spacing w:lineRule="auto" w:line="276"/>
        <w:ind w:firstLine="426"/>
        <w:rPr>
          <w:sz w:val="22"/>
          <w:szCs w:val="22"/>
        </w:rPr>
      </w:pPr>
      <w:r>
        <w:rPr>
          <w:sz w:val="22"/>
          <w:szCs w:val="22"/>
        </w:rPr>
        <w:t>DIČ:</w:t>
        <w:tab/>
      </w:r>
      <w:r>
        <w:rPr>
          <w:sz w:val="22"/>
          <w:szCs w:val="22"/>
          <w:shd w:fill="FFFFCC" w:val="clear"/>
        </w:rPr>
        <w:t xml:space="preserve">…………………… </w:t>
      </w:r>
      <w:r>
        <w:rPr>
          <w:bCs/>
          <w:sz w:val="20"/>
          <w:szCs w:val="20"/>
        </w:rPr>
        <w:t>(doplní účastník)</w:t>
      </w:r>
      <w:r>
        <w:rPr>
          <w:sz w:val="22"/>
          <w:szCs w:val="22"/>
        </w:rPr>
        <w:tab/>
      </w:r>
    </w:p>
    <w:p>
      <w:pPr>
        <w:pStyle w:val="NoSpacing"/>
        <w:spacing w:lineRule="auto" w:line="276"/>
        <w:ind w:left="426" w:hanging="0"/>
        <w:jc w:val="both"/>
        <w:rPr>
          <w:rFonts w:ascii="Times New Roman" w:hAnsi="Times New Roman" w:cs="Times New Roman"/>
        </w:rPr>
      </w:pPr>
      <w:r>
        <w:rPr>
          <w:rFonts w:cs="Times New Roman" w:ascii="Times New Roman" w:hAnsi="Times New Roman"/>
        </w:rPr>
        <w:t xml:space="preserve">zapsaná v obchodním rejstříku vedeném u </w:t>
      </w:r>
      <w:r>
        <w:rPr>
          <w:rFonts w:cs="Times New Roman" w:ascii="Times New Roman" w:hAnsi="Times New Roman"/>
          <w:shd w:fill="FFFFCC" w:val="clear"/>
        </w:rPr>
        <w:t>………….</w:t>
      </w:r>
      <w:r>
        <w:rPr>
          <w:rFonts w:cs="Times New Roman" w:ascii="Times New Roman" w:hAnsi="Times New Roman"/>
        </w:rPr>
        <w:t xml:space="preserve"> soudu v </w:t>
      </w:r>
      <w:r>
        <w:rPr>
          <w:rFonts w:cs="Times New Roman" w:ascii="Times New Roman" w:hAnsi="Times New Roman"/>
          <w:shd w:fill="FFFFCC" w:val="clear"/>
        </w:rPr>
        <w:t>……….</w:t>
      </w:r>
      <w:r>
        <w:rPr>
          <w:rFonts w:cs="Times New Roman" w:ascii="Times New Roman" w:hAnsi="Times New Roman"/>
        </w:rPr>
        <w:t xml:space="preserve">, oddíl </w:t>
      </w:r>
      <w:r>
        <w:rPr>
          <w:rFonts w:cs="Times New Roman" w:ascii="Times New Roman" w:hAnsi="Times New Roman"/>
          <w:shd w:fill="FFFFCC" w:val="clear"/>
        </w:rPr>
        <w:t>……</w:t>
      </w:r>
      <w:r>
        <w:rPr>
          <w:rFonts w:cs="Times New Roman" w:ascii="Times New Roman" w:hAnsi="Times New Roman"/>
        </w:rPr>
        <w:t>, vložka</w:t>
      </w:r>
      <w:r>
        <w:rPr>
          <w:rFonts w:cs="Times New Roman" w:ascii="Times New Roman" w:hAnsi="Times New Roman"/>
          <w:shd w:fill="FFFFCC" w:val="clear"/>
        </w:rPr>
        <w:t>…</w:t>
      </w:r>
      <w:r>
        <w:rPr>
          <w:rFonts w:cs="Times New Roman" w:ascii="Times New Roman" w:hAnsi="Times New Roman"/>
          <w:bCs/>
          <w:sz w:val="20"/>
          <w:szCs w:val="20"/>
        </w:rPr>
        <w:t>(doplní účastník)</w:t>
      </w:r>
    </w:p>
    <w:p>
      <w:pPr>
        <w:pStyle w:val="Normal"/>
        <w:spacing w:lineRule="auto" w:line="276"/>
        <w:ind w:left="426" w:hanging="0"/>
        <w:rPr>
          <w:sz w:val="22"/>
          <w:szCs w:val="22"/>
        </w:rPr>
      </w:pPr>
      <w:r>
        <w:rPr>
          <w:sz w:val="22"/>
          <w:szCs w:val="22"/>
        </w:rPr>
        <w:t xml:space="preserve">Kontaktní osoba ve věcech technických: </w:t>
      </w:r>
      <w:r>
        <w:rPr>
          <w:bCs/>
          <w:sz w:val="20"/>
          <w:szCs w:val="20"/>
        </w:rPr>
        <w:t>(doplní účastník)</w:t>
      </w:r>
    </w:p>
    <w:p>
      <w:pPr>
        <w:pStyle w:val="Normal"/>
        <w:spacing w:lineRule="auto" w:line="276"/>
        <w:ind w:left="426" w:hanging="0"/>
        <w:rPr>
          <w:sz w:val="22"/>
          <w:szCs w:val="22"/>
        </w:rPr>
      </w:pPr>
      <w:r>
        <w:rPr>
          <w:sz w:val="22"/>
          <w:szCs w:val="22"/>
        </w:rPr>
        <w:t xml:space="preserve">Fax: </w:t>
      </w:r>
      <w:r>
        <w:rPr>
          <w:sz w:val="22"/>
          <w:szCs w:val="22"/>
          <w:shd w:fill="FFFFCC" w:val="clear"/>
        </w:rPr>
        <w:t>……………….</w:t>
      </w:r>
      <w:r>
        <w:rPr>
          <w:sz w:val="22"/>
          <w:szCs w:val="22"/>
        </w:rPr>
        <w:t xml:space="preserve"> </w:t>
      </w:r>
      <w:r>
        <w:rPr>
          <w:bCs/>
          <w:sz w:val="20"/>
          <w:szCs w:val="20"/>
        </w:rPr>
        <w:t>(doplní účastník)</w:t>
      </w:r>
    </w:p>
    <w:p>
      <w:pPr>
        <w:pStyle w:val="Normal"/>
        <w:spacing w:lineRule="auto" w:line="276"/>
        <w:ind w:left="426" w:hanging="0"/>
        <w:rPr>
          <w:sz w:val="22"/>
          <w:szCs w:val="22"/>
        </w:rPr>
      </w:pPr>
      <w:r>
        <w:rPr>
          <w:sz w:val="22"/>
          <w:szCs w:val="22"/>
        </w:rPr>
        <w:t xml:space="preserve">E-mail: </w:t>
      </w:r>
      <w:r>
        <w:rPr>
          <w:sz w:val="22"/>
          <w:szCs w:val="22"/>
          <w:shd w:fill="FFFFCC" w:val="clear"/>
        </w:rPr>
        <w:t>…………………..</w:t>
      </w:r>
      <w:r>
        <w:rPr>
          <w:sz w:val="22"/>
          <w:szCs w:val="22"/>
        </w:rPr>
        <w:t xml:space="preserve"> </w:t>
      </w:r>
      <w:r>
        <w:rPr>
          <w:bCs/>
          <w:sz w:val="20"/>
          <w:szCs w:val="20"/>
        </w:rPr>
        <w:t>(doplní účastník)</w:t>
      </w:r>
    </w:p>
    <w:p>
      <w:pPr>
        <w:pStyle w:val="Normal"/>
        <w:spacing w:lineRule="auto" w:line="276"/>
        <w:ind w:left="426" w:hanging="0"/>
        <w:rPr>
          <w:sz w:val="22"/>
          <w:szCs w:val="22"/>
        </w:rPr>
      </w:pPr>
      <w:r>
        <w:rPr>
          <w:sz w:val="22"/>
          <w:szCs w:val="22"/>
        </w:rPr>
        <w:t xml:space="preserve">ID datové schránky: </w:t>
      </w:r>
      <w:r>
        <w:rPr>
          <w:sz w:val="22"/>
          <w:szCs w:val="22"/>
          <w:shd w:fill="FFFFCC" w:val="clear"/>
        </w:rPr>
        <w:t>………………………..</w:t>
      </w:r>
      <w:r>
        <w:rPr>
          <w:sz w:val="22"/>
          <w:szCs w:val="22"/>
        </w:rPr>
        <w:t xml:space="preserve"> </w:t>
      </w:r>
      <w:r>
        <w:rPr>
          <w:bCs/>
          <w:sz w:val="20"/>
          <w:szCs w:val="20"/>
        </w:rPr>
        <w:t>(doplní účastník)</w:t>
      </w:r>
    </w:p>
    <w:p>
      <w:pPr>
        <w:pStyle w:val="Normal"/>
        <w:spacing w:lineRule="auto" w:line="276"/>
        <w:rPr>
          <w:sz w:val="22"/>
          <w:szCs w:val="22"/>
        </w:rPr>
      </w:pPr>
      <w:r>
        <w:rPr>
          <w:sz w:val="22"/>
          <w:szCs w:val="22"/>
        </w:rPr>
        <w:t>dále jen „zhotovitel“ na straně druhé</w:t>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t>(společně též dále jen „smluvní strany“)</w:t>
      </w:r>
    </w:p>
    <w:p>
      <w:pPr>
        <w:pStyle w:val="Nadpis1"/>
        <w:numPr>
          <w:ilvl w:val="0"/>
          <w:numId w:val="0"/>
        </w:numPr>
        <w:jc w:val="center"/>
        <w:rPr>
          <w:rFonts w:ascii="Times New Roman" w:hAnsi="Times New Roman"/>
          <w:b w:val="false"/>
          <w:b w:val="false"/>
          <w:sz w:val="22"/>
          <w:szCs w:val="22"/>
        </w:rPr>
      </w:pPr>
      <w:r>
        <w:rPr>
          <w:rFonts w:ascii="Times New Roman" w:hAnsi="Times New Roman"/>
          <w:b w:val="false"/>
          <w:sz w:val="22"/>
          <w:szCs w:val="22"/>
        </w:rPr>
        <w:t>uzavírají</w:t>
      </w:r>
    </w:p>
    <w:p>
      <w:pPr>
        <w:pStyle w:val="Nadpis1"/>
        <w:numPr>
          <w:ilvl w:val="0"/>
          <w:numId w:val="0"/>
        </w:numPr>
        <w:jc w:val="center"/>
        <w:rPr>
          <w:rFonts w:ascii="Times New Roman" w:hAnsi="Times New Roman"/>
          <w:b w:val="false"/>
          <w:b w:val="false"/>
          <w:sz w:val="22"/>
          <w:szCs w:val="22"/>
        </w:rPr>
      </w:pPr>
      <w:r>
        <w:rPr>
          <w:rFonts w:ascii="Times New Roman" w:hAnsi="Times New Roman"/>
          <w:b w:val="false"/>
          <w:sz w:val="22"/>
          <w:szCs w:val="22"/>
        </w:rPr>
        <w:t>níže uvedeného</w:t>
      </w:r>
      <w:r>
        <w:rPr>
          <w:rFonts w:ascii="Times New Roman" w:hAnsi="Times New Roman"/>
          <w:sz w:val="22"/>
          <w:szCs w:val="22"/>
        </w:rPr>
        <w:t xml:space="preserve"> </w:t>
      </w:r>
      <w:r>
        <w:rPr>
          <w:rFonts w:ascii="Times New Roman" w:hAnsi="Times New Roman"/>
          <w:b w:val="false"/>
          <w:sz w:val="22"/>
          <w:szCs w:val="22"/>
        </w:rPr>
        <w:t>dne, měsíce a roku</w:t>
      </w:r>
    </w:p>
    <w:p>
      <w:pPr>
        <w:pStyle w:val="Nadpis1"/>
        <w:numPr>
          <w:ilvl w:val="0"/>
          <w:numId w:val="0"/>
        </w:numPr>
        <w:jc w:val="center"/>
        <w:rPr>
          <w:rFonts w:ascii="Times New Roman" w:hAnsi="Times New Roman"/>
          <w:b w:val="false"/>
          <w:b w:val="false"/>
          <w:sz w:val="22"/>
          <w:szCs w:val="22"/>
        </w:rPr>
      </w:pPr>
      <w:r>
        <w:rPr>
          <w:rFonts w:ascii="Times New Roman" w:hAnsi="Times New Roman"/>
          <w:b w:val="false"/>
          <w:sz w:val="22"/>
          <w:szCs w:val="22"/>
        </w:rPr>
        <w:t xml:space="preserve">tuto smlouvu o dílo </w:t>
      </w:r>
    </w:p>
    <w:p>
      <w:pPr>
        <w:pStyle w:val="Normal"/>
        <w:jc w:val="center"/>
        <w:rPr>
          <w:sz w:val="22"/>
          <w:szCs w:val="22"/>
        </w:rPr>
      </w:pPr>
      <w:r>
        <w:rPr>
          <w:sz w:val="22"/>
          <w:szCs w:val="22"/>
        </w:rPr>
        <w:t>(dále jen „smlouva“)</w:t>
      </w:r>
    </w:p>
    <w:p>
      <w:pPr>
        <w:pStyle w:val="Normal"/>
        <w:jc w:val="center"/>
        <w:rPr>
          <w:sz w:val="22"/>
          <w:szCs w:val="22"/>
        </w:rPr>
      </w:pPr>
      <w:r>
        <w:rPr>
          <w:sz w:val="22"/>
          <w:szCs w:val="22"/>
        </w:rPr>
      </w:r>
    </w:p>
    <w:p>
      <w:pPr>
        <w:pStyle w:val="Nadpis1"/>
        <w:numPr>
          <w:ilvl w:val="0"/>
          <w:numId w:val="0"/>
        </w:numPr>
        <w:jc w:val="both"/>
        <w:rPr>
          <w:rFonts w:ascii="Times New Roman" w:hAnsi="Times New Roman"/>
          <w:bCs/>
          <w:sz w:val="22"/>
          <w:szCs w:val="22"/>
        </w:rPr>
      </w:pPr>
      <w:r>
        <w:rPr>
          <w:rFonts w:ascii="Times New Roman" w:hAnsi="Times New Roman"/>
          <w:b w:val="false"/>
          <w:sz w:val="22"/>
          <w:szCs w:val="22"/>
        </w:rPr>
        <w:t xml:space="preserve">Podkladem pro uzavření této smlouvy je nabídka vybraného dodavatele předložená v rámci zadávacího řízení zadávaného ve zjednodušeném podlimitním řízení na dodávky s názvem </w:t>
      </w:r>
      <w:r>
        <w:rPr>
          <w:rFonts w:ascii="Times New Roman" w:hAnsi="Times New Roman"/>
          <w:bCs/>
          <w:sz w:val="22"/>
          <w:szCs w:val="22"/>
        </w:rPr>
        <w:t xml:space="preserve">Akustická opatření stávajících zdrojů hluku v Orlickoústecké nemocnici </w:t>
      </w:r>
      <w:r>
        <w:rPr>
          <w:rFonts w:ascii="Times New Roman" w:hAnsi="Times New Roman"/>
          <w:b w:val="false"/>
          <w:sz w:val="22"/>
          <w:szCs w:val="22"/>
        </w:rPr>
        <w:t>(dále jen „veřejná zakázka“).</w:t>
      </w:r>
    </w:p>
    <w:p>
      <w:pPr>
        <w:pStyle w:val="Normal"/>
        <w:ind w:right="-24" w:hanging="0"/>
        <w:jc w:val="both"/>
        <w:rPr>
          <w:u w:val="single"/>
        </w:rPr>
      </w:pPr>
      <w:r>
        <w:rPr>
          <w:u w:val="single"/>
        </w:rPr>
      </w:r>
    </w:p>
    <w:p>
      <w:pPr>
        <w:pStyle w:val="Normal"/>
        <w:ind w:right="-24" w:hanging="0"/>
        <w:jc w:val="both"/>
        <w:rPr>
          <w:u w:val="single"/>
        </w:rPr>
      </w:pPr>
      <w:r>
        <w:rPr>
          <w:u w:val="single"/>
        </w:rPr>
      </w:r>
    </w:p>
    <w:p>
      <w:pPr>
        <w:pStyle w:val="Normal"/>
        <w:jc w:val="center"/>
        <w:rPr>
          <w:b/>
          <w:b/>
          <w:bCs/>
          <w:sz w:val="22"/>
          <w:szCs w:val="22"/>
        </w:rPr>
      </w:pPr>
      <w:r>
        <w:rPr>
          <w:b/>
          <w:bCs/>
          <w:sz w:val="22"/>
          <w:szCs w:val="22"/>
        </w:rPr>
        <w:t>Článek 1</w:t>
      </w:r>
    </w:p>
    <w:p>
      <w:pPr>
        <w:pStyle w:val="Normal"/>
        <w:jc w:val="center"/>
        <w:rPr>
          <w:b/>
          <w:b/>
          <w:bCs/>
          <w:sz w:val="22"/>
          <w:szCs w:val="22"/>
        </w:rPr>
      </w:pPr>
      <w:r>
        <w:rPr>
          <w:b/>
          <w:bCs/>
          <w:sz w:val="22"/>
          <w:szCs w:val="22"/>
        </w:rPr>
        <w:t>Předmět smlouvy</w:t>
      </w:r>
    </w:p>
    <w:p>
      <w:pPr>
        <w:pStyle w:val="Nadpis1"/>
        <w:numPr>
          <w:ilvl w:val="0"/>
          <w:numId w:val="0"/>
        </w:numPr>
        <w:ind w:left="705" w:hanging="705"/>
        <w:jc w:val="both"/>
        <w:rPr>
          <w:rFonts w:ascii="Times New Roman" w:hAnsi="Times New Roman"/>
          <w:b w:val="false"/>
          <w:b w:val="false"/>
          <w:sz w:val="22"/>
          <w:szCs w:val="22"/>
        </w:rPr>
      </w:pPr>
      <w:r>
        <w:rPr>
          <w:rFonts w:ascii="Times New Roman" w:hAnsi="Times New Roman"/>
          <w:sz w:val="22"/>
          <w:szCs w:val="22"/>
        </w:rPr>
        <w:t xml:space="preserve">1.1 </w:t>
        <w:tab/>
        <w:tab/>
      </w:r>
      <w:r>
        <w:rPr>
          <w:rFonts w:ascii="Times New Roman" w:hAnsi="Times New Roman"/>
          <w:b w:val="false"/>
          <w:sz w:val="22"/>
          <w:szCs w:val="22"/>
        </w:rPr>
        <w:t>Předmětem této smlouvy je závazek zhotovitele provést na svůj náklad a nebezpečí pro objednatele dílo spočívající v opatřeních na stávajících zdrojích hluku na pracovišti zadavatele (dále jen „dílo“) za podmínek této smlouvy.</w:t>
      </w:r>
    </w:p>
    <w:p>
      <w:pPr>
        <w:pStyle w:val="Normal"/>
        <w:spacing w:before="0" w:after="60"/>
        <w:ind w:left="703" w:hanging="703"/>
        <w:jc w:val="both"/>
        <w:rPr>
          <w:sz w:val="22"/>
          <w:szCs w:val="22"/>
        </w:rPr>
      </w:pPr>
      <w:r>
        <w:rPr>
          <w:b/>
          <w:sz w:val="22"/>
          <w:szCs w:val="22"/>
        </w:rPr>
        <w:t>1.2</w:t>
      </w:r>
      <w:r>
        <w:rPr>
          <w:sz w:val="22"/>
          <w:szCs w:val="22"/>
        </w:rPr>
        <w:t xml:space="preserve"> </w:t>
        <w:tab/>
        <w:t xml:space="preserve">Přesná specifikace díla je uvedena </w:t>
      </w:r>
      <w:r>
        <w:rPr>
          <w:iCs/>
          <w:sz w:val="22"/>
          <w:szCs w:val="22"/>
        </w:rPr>
        <w:t>v příloze č. 1</w:t>
      </w:r>
      <w:r>
        <w:rPr>
          <w:sz w:val="22"/>
          <w:szCs w:val="22"/>
        </w:rPr>
        <w:t>, která je nedílnou součástí této smlouvy.</w:t>
      </w:r>
    </w:p>
    <w:p>
      <w:pPr>
        <w:pStyle w:val="Normal"/>
        <w:ind w:left="705" w:hanging="705"/>
        <w:jc w:val="both"/>
        <w:rPr>
          <w:sz w:val="22"/>
          <w:szCs w:val="22"/>
        </w:rPr>
      </w:pPr>
      <w:r>
        <w:rPr>
          <w:b/>
          <w:sz w:val="22"/>
          <w:szCs w:val="22"/>
        </w:rPr>
        <w:t>1.3</w:t>
      </w:r>
      <w:r>
        <w:rPr>
          <w:sz w:val="22"/>
          <w:szCs w:val="22"/>
        </w:rPr>
        <w:tab/>
        <w:t>Objednatel se zavazuje převzít provedené dílo od zhotovitele a zaplatit cenu dle podmínek této smlouvy.</w:t>
      </w:r>
    </w:p>
    <w:p>
      <w:pPr>
        <w:pStyle w:val="Normal"/>
        <w:ind w:left="705" w:hanging="705"/>
        <w:rPr>
          <w:sz w:val="22"/>
          <w:szCs w:val="22"/>
        </w:rPr>
      </w:pPr>
      <w:r>
        <w:rPr>
          <w:sz w:val="22"/>
          <w:szCs w:val="22"/>
        </w:rPr>
      </w:r>
    </w:p>
    <w:p>
      <w:pPr>
        <w:pStyle w:val="Normal"/>
        <w:jc w:val="center"/>
        <w:rPr>
          <w:b/>
          <w:b/>
          <w:bCs/>
          <w:sz w:val="22"/>
          <w:szCs w:val="22"/>
        </w:rPr>
      </w:pPr>
      <w:r>
        <w:rPr>
          <w:b/>
          <w:bCs/>
          <w:sz w:val="22"/>
          <w:szCs w:val="22"/>
        </w:rPr>
        <w:t>Článek 2</w:t>
      </w:r>
    </w:p>
    <w:p>
      <w:pPr>
        <w:pStyle w:val="Normal"/>
        <w:jc w:val="center"/>
        <w:rPr>
          <w:b/>
          <w:b/>
          <w:bCs/>
          <w:sz w:val="22"/>
          <w:szCs w:val="22"/>
        </w:rPr>
      </w:pPr>
      <w:r>
        <w:rPr>
          <w:b/>
          <w:bCs/>
          <w:sz w:val="22"/>
          <w:szCs w:val="22"/>
        </w:rPr>
        <w:t>Účel smlouvy</w:t>
      </w:r>
    </w:p>
    <w:p>
      <w:pPr>
        <w:pStyle w:val="Normal"/>
        <w:jc w:val="center"/>
        <w:rPr>
          <w:b/>
          <w:b/>
          <w:bCs/>
          <w:sz w:val="22"/>
          <w:szCs w:val="22"/>
        </w:rPr>
      </w:pPr>
      <w:r>
        <w:rPr>
          <w:b/>
          <w:bCs/>
          <w:sz w:val="22"/>
          <w:szCs w:val="22"/>
        </w:rPr>
      </w:r>
    </w:p>
    <w:p>
      <w:pPr>
        <w:pStyle w:val="BodyTextIndent3"/>
        <w:tabs>
          <w:tab w:val="left" w:pos="567" w:leader="none"/>
          <w:tab w:val="left" w:pos="709" w:leader="none"/>
        </w:tabs>
        <w:ind w:left="705" w:hanging="705"/>
        <w:jc w:val="both"/>
        <w:rPr>
          <w:color w:val="0000FF"/>
          <w:sz w:val="22"/>
          <w:szCs w:val="22"/>
        </w:rPr>
      </w:pPr>
      <w:r>
        <w:rPr>
          <w:b/>
          <w:bCs/>
          <w:sz w:val="22"/>
          <w:szCs w:val="22"/>
        </w:rPr>
        <w:t>2.1</w:t>
      </w:r>
      <w:r>
        <w:rPr>
          <w:sz w:val="22"/>
          <w:szCs w:val="22"/>
        </w:rPr>
        <w:t xml:space="preserve"> </w:t>
        <w:tab/>
        <w:tab/>
        <w:t xml:space="preserve">Účelem této smlouvy je provedení akustických a protihlukových úprav v areálu pracoviště Orlickoústecké nemocnice. </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t>Článek 3</w:t>
      </w:r>
    </w:p>
    <w:p>
      <w:pPr>
        <w:pStyle w:val="Normal"/>
        <w:jc w:val="center"/>
        <w:rPr>
          <w:b/>
          <w:b/>
          <w:bCs/>
          <w:sz w:val="22"/>
          <w:szCs w:val="22"/>
        </w:rPr>
      </w:pPr>
      <w:r>
        <w:rPr>
          <w:b/>
          <w:sz w:val="22"/>
          <w:szCs w:val="22"/>
        </w:rPr>
        <w:t>Termín a místo plnění</w:t>
      </w:r>
    </w:p>
    <w:p>
      <w:pPr>
        <w:pStyle w:val="Normal"/>
        <w:ind w:left="360" w:hanging="0"/>
        <w:jc w:val="both"/>
        <w:rPr>
          <w:b/>
          <w:b/>
          <w:sz w:val="22"/>
          <w:szCs w:val="22"/>
        </w:rPr>
      </w:pPr>
      <w:r>
        <w:rPr>
          <w:b/>
          <w:sz w:val="22"/>
          <w:szCs w:val="22"/>
        </w:rPr>
      </w:r>
    </w:p>
    <w:p>
      <w:pPr>
        <w:pStyle w:val="Normal"/>
        <w:spacing w:before="0" w:after="60"/>
        <w:ind w:left="703" w:hanging="703"/>
        <w:jc w:val="both"/>
        <w:rPr>
          <w:i/>
          <w:i/>
          <w:sz w:val="22"/>
          <w:szCs w:val="22"/>
        </w:rPr>
      </w:pPr>
      <w:r>
        <w:rPr>
          <w:b/>
          <w:sz w:val="22"/>
          <w:szCs w:val="22"/>
        </w:rPr>
        <w:t>3.1</w:t>
      </w:r>
      <w:r>
        <w:rPr>
          <w:sz w:val="22"/>
          <w:szCs w:val="22"/>
        </w:rPr>
        <w:t xml:space="preserve"> </w:t>
        <w:tab/>
        <w:t xml:space="preserve">Termín zahájení plnění díla je </w:t>
      </w:r>
      <w:r>
        <w:rPr>
          <w:iCs/>
          <w:sz w:val="22"/>
          <w:szCs w:val="22"/>
        </w:rPr>
        <w:t>po nabytí účinnosti smlouvy vložením do registru smluv.</w:t>
      </w:r>
      <w:r>
        <w:rPr>
          <w:i/>
          <w:sz w:val="22"/>
          <w:szCs w:val="22"/>
        </w:rPr>
        <w:t xml:space="preserve"> </w:t>
      </w:r>
    </w:p>
    <w:p>
      <w:pPr>
        <w:pStyle w:val="Normal"/>
        <w:spacing w:before="0" w:after="60"/>
        <w:ind w:left="703" w:hanging="703"/>
        <w:jc w:val="both"/>
        <w:rPr>
          <w:sz w:val="22"/>
          <w:szCs w:val="22"/>
        </w:rPr>
      </w:pPr>
      <w:r>
        <w:rPr>
          <w:b/>
          <w:sz w:val="22"/>
          <w:szCs w:val="22"/>
        </w:rPr>
        <w:t>3.2</w:t>
      </w:r>
      <w:r>
        <w:rPr>
          <w:sz w:val="22"/>
          <w:szCs w:val="22"/>
        </w:rPr>
        <w:tab/>
        <w:t xml:space="preserve">Zhotovitel se zavazuje provést dílo řádně </w:t>
      </w:r>
      <w:r>
        <w:rPr>
          <w:b/>
          <w:bCs/>
          <w:sz w:val="22"/>
          <w:szCs w:val="22"/>
        </w:rPr>
        <w:t>do 120</w:t>
      </w:r>
      <w:r>
        <w:rPr>
          <w:sz w:val="22"/>
          <w:szCs w:val="22"/>
        </w:rPr>
        <w:t xml:space="preserve"> </w:t>
      </w:r>
      <w:r>
        <w:rPr>
          <w:b/>
          <w:bCs/>
          <w:iCs/>
          <w:sz w:val="22"/>
          <w:szCs w:val="22"/>
        </w:rPr>
        <w:t>dnů od nabytí účinnosti smlouvy.</w:t>
      </w:r>
    </w:p>
    <w:p>
      <w:pPr>
        <w:pStyle w:val="Normal"/>
        <w:spacing w:before="0" w:after="60"/>
        <w:ind w:left="703" w:hanging="703"/>
        <w:jc w:val="both"/>
        <w:rPr>
          <w:b/>
          <w:b/>
          <w:sz w:val="22"/>
          <w:szCs w:val="22"/>
        </w:rPr>
      </w:pPr>
      <w:r>
        <w:rPr>
          <w:b/>
          <w:sz w:val="22"/>
          <w:szCs w:val="22"/>
        </w:rPr>
        <w:t>3.3</w:t>
        <w:tab/>
      </w:r>
      <w:r>
        <w:rPr>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nesplňuje podmínky této smlouvy, zejména pak jakost předmětu plnění.</w:t>
      </w:r>
    </w:p>
    <w:p>
      <w:pPr>
        <w:pStyle w:val="Normal"/>
        <w:spacing w:before="0" w:after="60"/>
        <w:ind w:left="703" w:hanging="703"/>
        <w:jc w:val="both"/>
        <w:rPr>
          <w:sz w:val="22"/>
          <w:szCs w:val="22"/>
        </w:rPr>
      </w:pPr>
      <w:r>
        <w:rPr>
          <w:b/>
          <w:sz w:val="22"/>
          <w:szCs w:val="22"/>
        </w:rPr>
        <w:t>3.4</w:t>
      </w:r>
      <w:r>
        <w:rPr>
          <w:sz w:val="22"/>
          <w:szCs w:val="22"/>
        </w:rPr>
        <w:tab/>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pPr>
        <w:pStyle w:val="Normal"/>
        <w:ind w:left="705" w:hanging="705"/>
        <w:jc w:val="both"/>
        <w:rPr>
          <w:iCs/>
          <w:sz w:val="22"/>
          <w:szCs w:val="22"/>
        </w:rPr>
      </w:pPr>
      <w:r>
        <w:rPr>
          <w:b/>
          <w:sz w:val="22"/>
          <w:szCs w:val="22"/>
        </w:rPr>
        <w:t>3.5</w:t>
      </w:r>
      <w:r>
        <w:rPr>
          <w:sz w:val="22"/>
          <w:szCs w:val="22"/>
        </w:rPr>
        <w:t xml:space="preserve"> </w:t>
        <w:tab/>
        <w:t xml:space="preserve">Místem plnění díla je pracoviště objednatele – </w:t>
      </w:r>
      <w:r>
        <w:rPr>
          <w:iCs/>
          <w:sz w:val="22"/>
          <w:szCs w:val="22"/>
        </w:rPr>
        <w:t xml:space="preserve">Orlickoústecká nemocnice, </w:t>
      </w:r>
      <w:r>
        <w:rPr>
          <w:rFonts w:cs="Arial"/>
          <w:iCs/>
          <w:sz w:val="22"/>
          <w:szCs w:val="22"/>
        </w:rPr>
        <w:t>Čs</w:t>
      </w:r>
      <w:r>
        <w:rPr>
          <w:rFonts w:cs="Arial"/>
          <w:sz w:val="22"/>
          <w:szCs w:val="22"/>
        </w:rPr>
        <w:t>. armády 1076</w:t>
      </w:r>
      <w:r>
        <w:rPr>
          <w:i/>
          <w:sz w:val="22"/>
          <w:szCs w:val="22"/>
        </w:rPr>
        <w:t xml:space="preserve">, </w:t>
      </w:r>
      <w:r>
        <w:rPr>
          <w:rFonts w:cs="Arial"/>
          <w:sz w:val="22"/>
          <w:szCs w:val="22"/>
        </w:rPr>
        <w:t>562 18 Ústí nad Orlicí</w:t>
      </w:r>
      <w:r>
        <w:rPr>
          <w:i/>
          <w:sz w:val="22"/>
          <w:szCs w:val="22"/>
        </w:rPr>
        <w:t>.</w:t>
      </w:r>
    </w:p>
    <w:p>
      <w:pPr>
        <w:pStyle w:val="Normal"/>
        <w:ind w:left="360" w:hanging="0"/>
        <w:jc w:val="both"/>
        <w:rPr>
          <w:sz w:val="22"/>
          <w:szCs w:val="22"/>
        </w:rPr>
      </w:pPr>
      <w:r>
        <w:rPr>
          <w:sz w:val="22"/>
          <w:szCs w:val="22"/>
        </w:rPr>
      </w:r>
    </w:p>
    <w:p>
      <w:pPr>
        <w:pStyle w:val="Normal"/>
        <w:jc w:val="center"/>
        <w:rPr>
          <w:b/>
          <w:b/>
          <w:bCs/>
          <w:sz w:val="22"/>
          <w:szCs w:val="22"/>
        </w:rPr>
      </w:pPr>
      <w:r>
        <w:rPr>
          <w:b/>
          <w:bCs/>
          <w:sz w:val="22"/>
          <w:szCs w:val="22"/>
        </w:rPr>
        <w:t>Článek 4</w:t>
      </w:r>
    </w:p>
    <w:p>
      <w:pPr>
        <w:pStyle w:val="Normal"/>
        <w:jc w:val="center"/>
        <w:rPr>
          <w:b/>
          <w:b/>
          <w:bCs/>
          <w:sz w:val="22"/>
          <w:szCs w:val="22"/>
        </w:rPr>
      </w:pPr>
      <w:r>
        <w:rPr>
          <w:b/>
          <w:bCs/>
          <w:sz w:val="22"/>
          <w:szCs w:val="22"/>
        </w:rPr>
        <w:t>Cena za dílo</w:t>
      </w:r>
    </w:p>
    <w:p>
      <w:pPr>
        <w:pStyle w:val="Normal"/>
        <w:jc w:val="center"/>
        <w:rPr>
          <w:b/>
          <w:b/>
          <w:bCs/>
          <w:sz w:val="22"/>
          <w:szCs w:val="22"/>
        </w:rPr>
      </w:pPr>
      <w:r>
        <w:rPr>
          <w:b/>
          <w:bCs/>
          <w:sz w:val="22"/>
          <w:szCs w:val="22"/>
        </w:rPr>
      </w:r>
    </w:p>
    <w:p>
      <w:pPr>
        <w:pStyle w:val="Normal"/>
        <w:keepNext w:val="true"/>
        <w:keepLines/>
        <w:ind w:left="705" w:hanging="705"/>
        <w:jc w:val="both"/>
        <w:rPr>
          <w:sz w:val="22"/>
          <w:szCs w:val="22"/>
        </w:rPr>
      </w:pPr>
      <w:r>
        <w:rPr>
          <w:b/>
          <w:sz w:val="22"/>
          <w:szCs w:val="22"/>
        </w:rPr>
        <w:t>4.1</w:t>
      </w:r>
      <w:r>
        <w:rPr>
          <w:sz w:val="22"/>
          <w:szCs w:val="22"/>
        </w:rPr>
        <w:t xml:space="preserve"> </w:t>
        <w:tab/>
        <w:t>Smluvní strany se dohodly na celkové ceně za dílo, kterou je objednatel povinen zaplatit zhotoviteli za dílo specifikované v čl. 1 a provedené v souladu s touto smlouvou, ve výši:</w:t>
      </w:r>
    </w:p>
    <w:p>
      <w:pPr>
        <w:pStyle w:val="BodyTextIndent3"/>
        <w:ind w:left="0" w:hanging="0"/>
        <w:jc w:val="both"/>
        <w:rPr>
          <w:sz w:val="22"/>
          <w:szCs w:val="22"/>
        </w:rPr>
      </w:pPr>
      <w:r>
        <w:rPr>
          <w:sz w:val="22"/>
          <w:szCs w:val="22"/>
        </w:rPr>
      </w:r>
    </w:p>
    <w:p>
      <w:pPr>
        <w:pStyle w:val="Normal"/>
        <w:jc w:val="center"/>
        <w:rPr>
          <w:b/>
          <w:b/>
          <w:sz w:val="22"/>
          <w:szCs w:val="22"/>
        </w:rPr>
      </w:pPr>
      <w:r>
        <w:rPr>
          <w:b/>
          <w:sz w:val="22"/>
          <w:szCs w:val="22"/>
          <w:shd w:fill="FFFFCC" w:val="clear"/>
        </w:rPr>
        <w:t>………</w:t>
      </w:r>
      <w:r>
        <w:rPr>
          <w:b/>
          <w:sz w:val="22"/>
          <w:szCs w:val="22"/>
          <w:shd w:fill="FFFFCC" w:val="clear"/>
        </w:rPr>
        <w:t>..</w:t>
      </w:r>
      <w:r>
        <w:rPr>
          <w:b/>
          <w:sz w:val="22"/>
          <w:szCs w:val="22"/>
        </w:rPr>
        <w:t xml:space="preserve"> Kč bez DPH</w:t>
      </w:r>
    </w:p>
    <w:p>
      <w:pPr>
        <w:pStyle w:val="Normal"/>
        <w:jc w:val="center"/>
        <w:rPr>
          <w:b/>
          <w:b/>
          <w:sz w:val="22"/>
          <w:szCs w:val="22"/>
        </w:rPr>
      </w:pPr>
      <w:r>
        <w:rPr>
          <w:b/>
          <w:sz w:val="22"/>
          <w:szCs w:val="22"/>
        </w:rPr>
        <w:t xml:space="preserve">(slovy: </w:t>
      </w:r>
      <w:r>
        <w:rPr>
          <w:b/>
          <w:sz w:val="22"/>
          <w:szCs w:val="22"/>
          <w:shd w:fill="FFFFCC" w:val="clear"/>
        </w:rPr>
        <w:t>………………</w:t>
      </w:r>
      <w:r>
        <w:rPr>
          <w:b/>
          <w:sz w:val="22"/>
          <w:szCs w:val="22"/>
        </w:rPr>
        <w:t xml:space="preserve"> korun českých)</w:t>
      </w:r>
    </w:p>
    <w:p>
      <w:pPr>
        <w:pStyle w:val="Normal"/>
        <w:jc w:val="center"/>
        <w:rPr>
          <w:b/>
          <w:b/>
          <w:sz w:val="22"/>
          <w:szCs w:val="22"/>
        </w:rPr>
      </w:pPr>
      <w:r>
        <w:rPr>
          <w:b/>
          <w:sz w:val="22"/>
          <w:szCs w:val="22"/>
        </w:rPr>
      </w:r>
    </w:p>
    <w:p>
      <w:pPr>
        <w:pStyle w:val="Normal"/>
        <w:jc w:val="center"/>
        <w:rPr>
          <w:b/>
          <w:b/>
          <w:sz w:val="22"/>
          <w:szCs w:val="22"/>
        </w:rPr>
      </w:pPr>
      <w:r>
        <w:rPr>
          <w:b/>
          <w:sz w:val="22"/>
          <w:szCs w:val="22"/>
        </w:rPr>
        <w:t xml:space="preserve">DPH ve výši </w:t>
      </w:r>
      <w:r>
        <w:rPr>
          <w:b/>
          <w:sz w:val="22"/>
          <w:szCs w:val="22"/>
          <w:shd w:fill="FFFFCC" w:val="clear"/>
        </w:rPr>
        <w:t>…</w:t>
      </w:r>
      <w:r>
        <w:rPr>
          <w:b/>
          <w:sz w:val="22"/>
          <w:szCs w:val="22"/>
        </w:rPr>
        <w:t>% činí</w:t>
      </w:r>
      <w:r>
        <w:rPr>
          <w:b/>
          <w:sz w:val="22"/>
          <w:szCs w:val="22"/>
          <w:shd w:fill="FFFFCC" w:val="clear"/>
        </w:rPr>
        <w:t>…………..</w:t>
      </w:r>
      <w:r>
        <w:rPr>
          <w:b/>
          <w:sz w:val="22"/>
          <w:szCs w:val="22"/>
        </w:rPr>
        <w:t xml:space="preserve"> Kč</w:t>
      </w:r>
    </w:p>
    <w:p>
      <w:pPr>
        <w:pStyle w:val="Normal"/>
        <w:jc w:val="center"/>
        <w:rPr>
          <w:b/>
          <w:b/>
          <w:sz w:val="22"/>
          <w:szCs w:val="22"/>
        </w:rPr>
      </w:pPr>
      <w:r>
        <w:rPr>
          <w:b/>
          <w:sz w:val="22"/>
          <w:szCs w:val="22"/>
        </w:rPr>
        <w:t xml:space="preserve">(slovy: </w:t>
      </w:r>
      <w:r>
        <w:rPr>
          <w:b/>
          <w:sz w:val="22"/>
          <w:szCs w:val="22"/>
          <w:shd w:fill="FFFFCC" w:val="clear"/>
        </w:rPr>
        <w:t>………………</w:t>
      </w:r>
      <w:r>
        <w:rPr>
          <w:b/>
          <w:sz w:val="22"/>
          <w:szCs w:val="22"/>
        </w:rPr>
        <w:t xml:space="preserve"> korun českých)</w:t>
      </w:r>
    </w:p>
    <w:p>
      <w:pPr>
        <w:pStyle w:val="Normal"/>
        <w:jc w:val="center"/>
        <w:rPr>
          <w:b/>
          <w:b/>
          <w:sz w:val="22"/>
          <w:szCs w:val="22"/>
        </w:rPr>
      </w:pPr>
      <w:r>
        <w:rPr>
          <w:b/>
          <w:sz w:val="22"/>
          <w:szCs w:val="22"/>
        </w:rPr>
      </w:r>
    </w:p>
    <w:p>
      <w:pPr>
        <w:pStyle w:val="Normal"/>
        <w:jc w:val="center"/>
        <w:rPr>
          <w:b/>
          <w:b/>
          <w:sz w:val="22"/>
          <w:szCs w:val="22"/>
        </w:rPr>
      </w:pPr>
      <w:r>
        <w:rPr>
          <w:b/>
          <w:sz w:val="22"/>
          <w:szCs w:val="22"/>
          <w:shd w:fill="FFFFCC" w:val="clear"/>
        </w:rPr>
        <w:t>………</w:t>
      </w:r>
      <w:r>
        <w:rPr>
          <w:b/>
          <w:sz w:val="22"/>
          <w:szCs w:val="22"/>
        </w:rPr>
        <w:t xml:space="preserve"> </w:t>
      </w:r>
      <w:r>
        <w:rPr>
          <w:b/>
          <w:sz w:val="22"/>
          <w:szCs w:val="22"/>
        </w:rPr>
        <w:t>Kč včetně DPH</w:t>
      </w:r>
    </w:p>
    <w:p>
      <w:pPr>
        <w:pStyle w:val="Normal"/>
        <w:jc w:val="center"/>
        <w:rPr>
          <w:b/>
          <w:b/>
          <w:sz w:val="22"/>
          <w:szCs w:val="22"/>
        </w:rPr>
      </w:pPr>
      <w:r>
        <w:rPr>
          <w:b/>
          <w:sz w:val="22"/>
          <w:szCs w:val="22"/>
        </w:rPr>
        <w:t xml:space="preserve">(slovy: </w:t>
      </w:r>
      <w:r>
        <w:rPr>
          <w:b/>
          <w:sz w:val="22"/>
          <w:szCs w:val="22"/>
          <w:shd w:fill="FFFFCC" w:val="clear"/>
        </w:rPr>
        <w:t>………………</w:t>
      </w:r>
      <w:r>
        <w:rPr>
          <w:b/>
          <w:sz w:val="22"/>
          <w:szCs w:val="22"/>
        </w:rPr>
        <w:t xml:space="preserve"> korun českých)</w:t>
      </w:r>
    </w:p>
    <w:p>
      <w:pPr>
        <w:pStyle w:val="Normal"/>
        <w:jc w:val="center"/>
        <w:rPr>
          <w:sz w:val="22"/>
          <w:szCs w:val="22"/>
        </w:rPr>
      </w:pPr>
      <w:r>
        <w:rPr>
          <w:sz w:val="22"/>
          <w:szCs w:val="22"/>
        </w:rPr>
        <w:t>(dále jen „cena“)</w:t>
      </w:r>
    </w:p>
    <w:p>
      <w:pPr>
        <w:pStyle w:val="Normal"/>
        <w:jc w:val="both"/>
        <w:rPr>
          <w:sz w:val="22"/>
          <w:szCs w:val="22"/>
        </w:rPr>
      </w:pPr>
      <w:r>
        <w:rPr>
          <w:sz w:val="22"/>
          <w:szCs w:val="22"/>
        </w:rPr>
      </w:r>
    </w:p>
    <w:p>
      <w:pPr>
        <w:pStyle w:val="Normal"/>
        <w:spacing w:before="0" w:after="60"/>
        <w:ind w:left="703" w:hanging="703"/>
        <w:jc w:val="both"/>
        <w:rPr>
          <w:sz w:val="22"/>
          <w:szCs w:val="22"/>
        </w:rPr>
      </w:pPr>
      <w:r>
        <w:rPr>
          <w:b/>
          <w:sz w:val="22"/>
          <w:szCs w:val="22"/>
        </w:rPr>
        <w:t>4.2</w:t>
      </w:r>
      <w:r>
        <w:rPr>
          <w:sz w:val="22"/>
          <w:szCs w:val="22"/>
        </w:rPr>
        <w:t xml:space="preserve"> </w:t>
        <w:tab/>
        <w:t>Podrobná struktura ceny za dílo podle této smlouvy je uvedena v položkovém rozpočtu</w:t>
      </w:r>
      <w:r>
        <w:rPr>
          <w:i/>
          <w:sz w:val="22"/>
          <w:szCs w:val="22"/>
        </w:rPr>
        <w:t xml:space="preserve"> </w:t>
      </w:r>
      <w:r>
        <w:rPr>
          <w:iCs/>
          <w:sz w:val="22"/>
          <w:szCs w:val="22"/>
        </w:rPr>
        <w:t xml:space="preserve">v příloze č. 2 </w:t>
      </w:r>
      <w:r>
        <w:rPr>
          <w:sz w:val="22"/>
          <w:szCs w:val="22"/>
        </w:rPr>
        <w:t xml:space="preserve">této smlouvy. </w:t>
      </w:r>
    </w:p>
    <w:p>
      <w:pPr>
        <w:pStyle w:val="Normal"/>
        <w:spacing w:before="0" w:after="60"/>
        <w:ind w:left="703" w:hanging="703"/>
        <w:jc w:val="both"/>
        <w:rPr>
          <w:sz w:val="22"/>
          <w:szCs w:val="22"/>
        </w:rPr>
      </w:pPr>
      <w:r>
        <w:rPr>
          <w:b/>
          <w:sz w:val="22"/>
          <w:szCs w:val="22"/>
        </w:rPr>
        <w:t>4.3</w:t>
      </w:r>
      <w:r>
        <w:rPr>
          <w:sz w:val="22"/>
          <w:szCs w:val="22"/>
        </w:rPr>
        <w:tab/>
        <w:t>Cena uvedená v čl. 4.1 smlouvy je cenou nejvýše přípustnou. Zhotovitel prohlašuje, že  cena plně pokrývá všechny jeho náklady spojené s plněním této smlouvy (všechny práce, činnosti a dodání věcí nezbytných pro řádné provedení a dokončení díla a odstranění všech jeho vad a splnění ostatních povinností zhotovitele plynoucích z této smlouvy).</w:t>
      </w:r>
    </w:p>
    <w:p>
      <w:pPr>
        <w:pStyle w:val="Normal"/>
        <w:tabs>
          <w:tab w:val="clear" w:pos="709"/>
          <w:tab w:val="left" w:pos="0" w:leader="none"/>
        </w:tabs>
        <w:ind w:left="705" w:hanging="705"/>
        <w:jc w:val="both"/>
        <w:rPr>
          <w:sz w:val="22"/>
          <w:szCs w:val="22"/>
        </w:rPr>
      </w:pPr>
      <w:r>
        <w:rPr>
          <w:b/>
          <w:sz w:val="22"/>
          <w:szCs w:val="22"/>
        </w:rPr>
        <w:t>4.4</w:t>
      </w:r>
      <w:r>
        <w:rPr>
          <w:sz w:val="22"/>
          <w:szCs w:val="22"/>
        </w:rPr>
        <w:t xml:space="preserve"> </w:t>
        <w:tab/>
        <w:t>Zhotovitel má dle této smlouvy právo na zaplacení ceny pouze skutečně provedených prací a poskytnutých dodávek. Práce a dodávky, které nebudou provedeny, nebudou zhotovitelem účtovány a cena za tyto práce a dodávky bude v souladu s cenovou kalkulací od celkové ceny odečtena.</w:t>
      </w:r>
    </w:p>
    <w:p>
      <w:pPr>
        <w:pStyle w:val="Normal"/>
        <w:jc w:val="both"/>
        <w:rPr>
          <w:b/>
          <w:b/>
          <w:color w:val="FF0000"/>
          <w:sz w:val="22"/>
          <w:szCs w:val="22"/>
        </w:rPr>
      </w:pPr>
      <w:r>
        <w:rPr>
          <w:b/>
          <w:color w:val="FF0000"/>
          <w:sz w:val="22"/>
          <w:szCs w:val="22"/>
        </w:rPr>
      </w:r>
    </w:p>
    <w:p>
      <w:pPr>
        <w:pStyle w:val="Normal"/>
        <w:jc w:val="center"/>
        <w:rPr>
          <w:b/>
          <w:b/>
          <w:color w:val="FF0000"/>
          <w:sz w:val="22"/>
          <w:szCs w:val="22"/>
        </w:rPr>
      </w:pPr>
      <w:r>
        <w:rPr>
          <w:b/>
          <w:color w:val="FF0000"/>
          <w:sz w:val="22"/>
          <w:szCs w:val="22"/>
        </w:rPr>
      </w:r>
    </w:p>
    <w:p>
      <w:pPr>
        <w:pStyle w:val="Normal"/>
        <w:jc w:val="center"/>
        <w:rPr>
          <w:b/>
          <w:b/>
          <w:bCs/>
          <w:sz w:val="22"/>
          <w:szCs w:val="22"/>
        </w:rPr>
      </w:pPr>
      <w:r>
        <w:rPr>
          <w:b/>
          <w:bCs/>
          <w:sz w:val="22"/>
          <w:szCs w:val="22"/>
        </w:rPr>
        <w:t>Článek 5</w:t>
      </w:r>
    </w:p>
    <w:p>
      <w:pPr>
        <w:pStyle w:val="Normal"/>
        <w:jc w:val="center"/>
        <w:rPr>
          <w:b/>
          <w:b/>
          <w:bCs/>
          <w:sz w:val="22"/>
          <w:szCs w:val="22"/>
        </w:rPr>
      </w:pPr>
      <w:r>
        <w:rPr>
          <w:b/>
          <w:bCs/>
          <w:sz w:val="22"/>
          <w:szCs w:val="22"/>
        </w:rPr>
        <w:t>Platební podmínky</w:t>
      </w:r>
    </w:p>
    <w:p>
      <w:pPr>
        <w:pStyle w:val="Normal"/>
        <w:jc w:val="center"/>
        <w:rPr>
          <w:b/>
          <w:b/>
          <w:bCs/>
          <w:sz w:val="22"/>
          <w:szCs w:val="22"/>
        </w:rPr>
      </w:pPr>
      <w:r>
        <w:rPr>
          <w:b/>
          <w:bCs/>
          <w:sz w:val="22"/>
          <w:szCs w:val="22"/>
        </w:rPr>
      </w:r>
    </w:p>
    <w:p>
      <w:pPr>
        <w:pStyle w:val="Normal"/>
        <w:tabs>
          <w:tab w:val="clear" w:pos="709"/>
          <w:tab w:val="left" w:pos="0" w:leader="none"/>
        </w:tabs>
        <w:spacing w:before="0" w:after="60"/>
        <w:ind w:left="703" w:hanging="703"/>
        <w:jc w:val="both"/>
        <w:rPr>
          <w:sz w:val="22"/>
          <w:szCs w:val="22"/>
        </w:rPr>
      </w:pPr>
      <w:r>
        <w:rPr>
          <w:b/>
          <w:sz w:val="22"/>
          <w:szCs w:val="22"/>
        </w:rPr>
        <w:t xml:space="preserve">5.1 </w:t>
        <w:tab/>
      </w:r>
      <w:r>
        <w:rPr>
          <w:bCs/>
          <w:sz w:val="22"/>
          <w:szCs w:val="22"/>
        </w:rPr>
        <w:t>Cena díla</w:t>
      </w:r>
      <w:r>
        <w:rPr>
          <w:b/>
          <w:sz w:val="22"/>
          <w:szCs w:val="22"/>
        </w:rPr>
        <w:t xml:space="preserve"> </w:t>
      </w:r>
      <w:r>
        <w:rPr>
          <w:sz w:val="22"/>
          <w:szCs w:val="22"/>
        </w:rPr>
        <w:t xml:space="preserve">bude hrazena bezhotovostním převodem na účet zhotovitele na základě daňového dokladu (dále jen „faktura“) vystaveného zhotovitelem. </w:t>
      </w:r>
    </w:p>
    <w:p>
      <w:pPr>
        <w:pStyle w:val="Normal"/>
        <w:tabs>
          <w:tab w:val="clear" w:pos="709"/>
          <w:tab w:val="left" w:pos="0" w:leader="none"/>
        </w:tabs>
        <w:spacing w:before="0" w:after="60"/>
        <w:ind w:left="703" w:hanging="703"/>
        <w:jc w:val="both"/>
        <w:rPr>
          <w:sz w:val="22"/>
          <w:szCs w:val="22"/>
        </w:rPr>
      </w:pPr>
      <w:r>
        <w:rPr>
          <w:b/>
          <w:sz w:val="22"/>
          <w:szCs w:val="22"/>
        </w:rPr>
        <w:t>5.2</w:t>
      </w:r>
      <w:r>
        <w:rPr>
          <w:sz w:val="22"/>
          <w:szCs w:val="22"/>
        </w:rPr>
        <w:tab/>
        <w:t>Zhotovitel není oprávněn požadovat jakékoli zálohy.</w:t>
      </w:r>
    </w:p>
    <w:p>
      <w:pPr>
        <w:pStyle w:val="Normal"/>
        <w:ind w:left="705" w:hanging="705"/>
        <w:jc w:val="both"/>
        <w:rPr>
          <w:sz w:val="22"/>
          <w:szCs w:val="22"/>
        </w:rPr>
      </w:pPr>
      <w:r>
        <w:rPr>
          <w:b/>
          <w:sz w:val="22"/>
          <w:szCs w:val="22"/>
        </w:rPr>
        <w:t>5.3</w:t>
      </w:r>
      <w:r>
        <w:rPr>
          <w:sz w:val="22"/>
          <w:szCs w:val="22"/>
        </w:rPr>
        <w:t xml:space="preserve"> </w:t>
        <w:tab/>
        <w:t>Zhotovitel fakturu doručí objednateli elektronicky na adresu fakturace@nempk.cz.</w:t>
      </w:r>
    </w:p>
    <w:p>
      <w:pPr>
        <w:pStyle w:val="Normal"/>
        <w:ind w:left="705" w:hanging="0"/>
        <w:jc w:val="both"/>
        <w:rPr>
          <w:sz w:val="22"/>
          <w:szCs w:val="22"/>
        </w:rPr>
      </w:pPr>
      <w:r>
        <w:rPr>
          <w:sz w:val="22"/>
          <w:szCs w:val="22"/>
        </w:rPr>
        <w:t>Faktura musí obsahovat všechny náležitosti řádného daňového dokladu podle platné právní úpravy, zejména podle zákona č. 235/2004 Sb., ve znění pozdějších předpisů a podle § 435 OZ. Dále musí faktura obsahovat tyto údaje:</w:t>
      </w:r>
    </w:p>
    <w:p>
      <w:pPr>
        <w:pStyle w:val="Normal"/>
        <w:widowControl w:val="false"/>
        <w:numPr>
          <w:ilvl w:val="0"/>
          <w:numId w:val="4"/>
        </w:numPr>
        <w:jc w:val="both"/>
        <w:rPr>
          <w:sz w:val="22"/>
          <w:szCs w:val="22"/>
        </w:rPr>
      </w:pPr>
      <w:r>
        <w:rPr>
          <w:sz w:val="22"/>
          <w:szCs w:val="22"/>
        </w:rPr>
        <w:t>označení „faktura – daňový doklad“;</w:t>
      </w:r>
    </w:p>
    <w:p>
      <w:pPr>
        <w:pStyle w:val="Normal"/>
        <w:widowControl w:val="false"/>
        <w:numPr>
          <w:ilvl w:val="0"/>
          <w:numId w:val="4"/>
        </w:numPr>
        <w:jc w:val="both"/>
        <w:rPr>
          <w:sz w:val="22"/>
          <w:szCs w:val="22"/>
        </w:rPr>
      </w:pPr>
      <w:r>
        <w:rPr>
          <w:sz w:val="22"/>
          <w:szCs w:val="22"/>
        </w:rPr>
        <w:t>evidenční číslo daňového dokladu;</w:t>
      </w:r>
    </w:p>
    <w:p>
      <w:pPr>
        <w:pStyle w:val="Normal"/>
        <w:widowControl w:val="false"/>
        <w:numPr>
          <w:ilvl w:val="0"/>
          <w:numId w:val="4"/>
        </w:numPr>
        <w:jc w:val="both"/>
        <w:rPr>
          <w:sz w:val="22"/>
          <w:szCs w:val="22"/>
        </w:rPr>
      </w:pPr>
      <w:r>
        <w:rPr>
          <w:sz w:val="22"/>
          <w:szCs w:val="22"/>
        </w:rPr>
        <w:t>číslo smlouvy a datum jejího uzavření;</w:t>
      </w:r>
    </w:p>
    <w:p>
      <w:pPr>
        <w:pStyle w:val="Normal"/>
        <w:widowControl w:val="false"/>
        <w:numPr>
          <w:ilvl w:val="0"/>
          <w:numId w:val="4"/>
        </w:numPr>
        <w:jc w:val="both"/>
        <w:rPr>
          <w:sz w:val="22"/>
          <w:szCs w:val="22"/>
        </w:rPr>
      </w:pPr>
      <w:r>
        <w:rPr>
          <w:sz w:val="22"/>
          <w:szCs w:val="22"/>
        </w:rPr>
        <w:t>název a sídlo smluvních stran, obchodní název, adresa;</w:t>
      </w:r>
    </w:p>
    <w:p>
      <w:pPr>
        <w:pStyle w:val="Normal"/>
        <w:widowControl w:val="false"/>
        <w:numPr>
          <w:ilvl w:val="0"/>
          <w:numId w:val="4"/>
        </w:numPr>
        <w:jc w:val="both"/>
        <w:rPr>
          <w:sz w:val="22"/>
          <w:szCs w:val="22"/>
        </w:rPr>
      </w:pPr>
      <w:r>
        <w:rPr>
          <w:sz w:val="22"/>
          <w:szCs w:val="22"/>
        </w:rPr>
        <w:t>IČO, DIČ smluvních stran;</w:t>
      </w:r>
    </w:p>
    <w:p>
      <w:pPr>
        <w:pStyle w:val="Normal"/>
        <w:widowControl w:val="false"/>
        <w:numPr>
          <w:ilvl w:val="0"/>
          <w:numId w:val="4"/>
        </w:numPr>
        <w:jc w:val="both"/>
        <w:rPr>
          <w:sz w:val="22"/>
          <w:szCs w:val="22"/>
        </w:rPr>
      </w:pPr>
      <w:r>
        <w:rPr>
          <w:sz w:val="22"/>
          <w:szCs w:val="22"/>
        </w:rPr>
        <w:t>název a evidenční číslo veřejné zakázky</w:t>
      </w:r>
    </w:p>
    <w:p>
      <w:pPr>
        <w:pStyle w:val="Normal"/>
        <w:widowControl w:val="false"/>
        <w:numPr>
          <w:ilvl w:val="0"/>
          <w:numId w:val="4"/>
        </w:numPr>
        <w:jc w:val="both"/>
        <w:rPr>
          <w:sz w:val="22"/>
          <w:szCs w:val="22"/>
        </w:rPr>
      </w:pPr>
      <w:r>
        <w:rPr>
          <w:sz w:val="22"/>
          <w:szCs w:val="22"/>
        </w:rPr>
        <w:t>předmět dodávky a název díla;</w:t>
      </w:r>
    </w:p>
    <w:p>
      <w:pPr>
        <w:pStyle w:val="Normal"/>
        <w:widowControl w:val="false"/>
        <w:numPr>
          <w:ilvl w:val="0"/>
          <w:numId w:val="4"/>
        </w:numPr>
        <w:jc w:val="both"/>
        <w:rPr>
          <w:sz w:val="22"/>
          <w:szCs w:val="22"/>
        </w:rPr>
      </w:pPr>
      <w:r>
        <w:rPr>
          <w:sz w:val="22"/>
          <w:szCs w:val="22"/>
        </w:rPr>
        <w:t>den vystavení  faktury a datum splatnosti;</w:t>
      </w:r>
    </w:p>
    <w:p>
      <w:pPr>
        <w:pStyle w:val="Normal"/>
        <w:widowControl w:val="false"/>
        <w:numPr>
          <w:ilvl w:val="0"/>
          <w:numId w:val="4"/>
        </w:numPr>
        <w:jc w:val="both"/>
        <w:rPr>
          <w:sz w:val="22"/>
          <w:szCs w:val="22"/>
        </w:rPr>
      </w:pPr>
      <w:r>
        <w:rPr>
          <w:sz w:val="22"/>
          <w:szCs w:val="22"/>
        </w:rPr>
        <w:t>číslo účtu zhotovitele,  včetně názvu banky, na který má být faktura uhrazena;</w:t>
      </w:r>
    </w:p>
    <w:p>
      <w:pPr>
        <w:pStyle w:val="Normal"/>
        <w:widowControl w:val="false"/>
        <w:numPr>
          <w:ilvl w:val="0"/>
          <w:numId w:val="4"/>
        </w:numPr>
        <w:spacing w:before="0" w:after="60"/>
        <w:ind w:left="1060" w:hanging="357"/>
        <w:jc w:val="both"/>
        <w:rPr>
          <w:sz w:val="22"/>
          <w:szCs w:val="22"/>
        </w:rPr>
      </w:pPr>
      <w:r>
        <w:rPr>
          <w:sz w:val="22"/>
          <w:szCs w:val="22"/>
        </w:rPr>
        <w:t>cenu bez DPH.</w:t>
      </w:r>
    </w:p>
    <w:p>
      <w:pPr>
        <w:pStyle w:val="Normal"/>
        <w:spacing w:before="0" w:after="60"/>
        <w:ind w:left="720" w:hanging="720"/>
        <w:jc w:val="both"/>
        <w:rPr>
          <w:sz w:val="22"/>
          <w:szCs w:val="22"/>
        </w:rPr>
      </w:pPr>
      <w:r>
        <w:rPr>
          <w:b/>
          <w:sz w:val="22"/>
          <w:szCs w:val="22"/>
        </w:rPr>
        <w:t>5.4</w:t>
      </w:r>
      <w:r>
        <w:rPr>
          <w:sz w:val="22"/>
          <w:szCs w:val="22"/>
        </w:rPr>
        <w:t xml:space="preserve"> </w:t>
        <w:tab/>
        <w:t>Splatnost</w:t>
      </w:r>
      <w:r>
        <w:rPr>
          <w:sz w:val="22"/>
          <w:szCs w:val="22"/>
          <w:vertAlign w:val="superscript"/>
        </w:rPr>
        <w:t xml:space="preserve"> </w:t>
      </w:r>
      <w:r>
        <w:rPr>
          <w:sz w:val="22"/>
          <w:szCs w:val="22"/>
        </w:rPr>
        <w:t>faktury je 30 dnů ode dne jejího doručení objednateli.</w:t>
      </w:r>
    </w:p>
    <w:p>
      <w:pPr>
        <w:pStyle w:val="Normal"/>
        <w:spacing w:before="0" w:after="60"/>
        <w:ind w:left="703" w:hanging="703"/>
        <w:jc w:val="both"/>
        <w:rPr>
          <w:sz w:val="22"/>
          <w:szCs w:val="22"/>
        </w:rPr>
      </w:pPr>
      <w:r>
        <w:rPr>
          <w:b/>
          <w:sz w:val="22"/>
          <w:szCs w:val="22"/>
        </w:rPr>
        <w:t>5.5</w:t>
      </w:r>
      <w:r>
        <w:rPr>
          <w:sz w:val="22"/>
          <w:szCs w:val="22"/>
        </w:rPr>
        <w:t xml:space="preserve"> </w:t>
        <w:tab/>
        <w:t>Faktura se považuje za uhrazenou okamžikem odepsání fakturované částky z účtu objednatele a jejím směrováním na účet zhotovitele.</w:t>
      </w:r>
    </w:p>
    <w:p>
      <w:pPr>
        <w:pStyle w:val="Normal"/>
        <w:ind w:left="705" w:hanging="705"/>
        <w:jc w:val="both"/>
        <w:rPr>
          <w:sz w:val="22"/>
          <w:szCs w:val="22"/>
        </w:rPr>
      </w:pPr>
      <w:r>
        <w:rPr>
          <w:b/>
          <w:sz w:val="22"/>
          <w:szCs w:val="22"/>
        </w:rPr>
        <w:t>5.6</w:t>
      </w:r>
      <w:r>
        <w:rPr>
          <w:sz w:val="22"/>
          <w:szCs w:val="22"/>
        </w:rPr>
        <w:t xml:space="preserve"> </w:t>
        <w:tab/>
        <w:t>Objednatel si vyhrazuje právo vrátit zhotoviteli do data jeho splatnosti daňový doklad – fakturu, který nebude obsahovat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pPr>
        <w:pStyle w:val="Normal"/>
        <w:ind w:left="360" w:hanging="0"/>
        <w:jc w:val="both"/>
        <w:rPr>
          <w:sz w:val="22"/>
          <w:szCs w:val="22"/>
        </w:rPr>
      </w:pPr>
      <w:r>
        <w:rPr>
          <w:sz w:val="22"/>
          <w:szCs w:val="22"/>
        </w:rPr>
      </w:r>
    </w:p>
    <w:p>
      <w:pPr>
        <w:pStyle w:val="Normal"/>
        <w:jc w:val="center"/>
        <w:rPr>
          <w:b/>
          <w:b/>
          <w:bCs/>
          <w:sz w:val="22"/>
          <w:szCs w:val="22"/>
        </w:rPr>
      </w:pPr>
      <w:r>
        <w:rPr>
          <w:b/>
          <w:bCs/>
          <w:sz w:val="22"/>
          <w:szCs w:val="22"/>
        </w:rPr>
        <w:t>Článek 6</w:t>
      </w:r>
    </w:p>
    <w:p>
      <w:pPr>
        <w:pStyle w:val="Normal"/>
        <w:jc w:val="center"/>
        <w:rPr>
          <w:b/>
          <w:b/>
          <w:sz w:val="22"/>
          <w:szCs w:val="22"/>
        </w:rPr>
      </w:pPr>
      <w:r>
        <w:rPr>
          <w:b/>
          <w:sz w:val="22"/>
          <w:szCs w:val="22"/>
        </w:rPr>
        <w:t xml:space="preserve">Podmínky provádění díla </w:t>
      </w:r>
    </w:p>
    <w:p>
      <w:pPr>
        <w:pStyle w:val="Normal"/>
        <w:jc w:val="center"/>
        <w:rPr>
          <w:b/>
          <w:b/>
          <w:sz w:val="22"/>
          <w:szCs w:val="22"/>
        </w:rPr>
      </w:pPr>
      <w:r>
        <w:rPr>
          <w:b/>
          <w:sz w:val="22"/>
          <w:szCs w:val="22"/>
        </w:rPr>
      </w:r>
    </w:p>
    <w:p>
      <w:pPr>
        <w:pStyle w:val="Normal"/>
        <w:tabs>
          <w:tab w:val="clear" w:pos="709"/>
          <w:tab w:val="left" w:pos="0" w:leader="none"/>
        </w:tabs>
        <w:spacing w:before="0" w:after="60"/>
        <w:ind w:left="709" w:hanging="703"/>
        <w:jc w:val="both"/>
        <w:rPr>
          <w:sz w:val="22"/>
          <w:szCs w:val="22"/>
        </w:rPr>
      </w:pPr>
      <w:r>
        <w:rPr>
          <w:b/>
          <w:sz w:val="22"/>
          <w:szCs w:val="22"/>
        </w:rPr>
        <w:t>6.1</w:t>
      </w:r>
      <w:r>
        <w:rPr>
          <w:sz w:val="22"/>
          <w:szCs w:val="22"/>
        </w:rPr>
        <w:t xml:space="preserve"> </w:t>
        <w:tab/>
        <w:t>Zhotovitel je povinen provést dílo řádně a včas v souladu s odsouhlaseným harmonogramem. Zhotovitel je povinen postupovat při provádění díla s náležitou,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pPr>
        <w:pStyle w:val="Normal"/>
        <w:tabs>
          <w:tab w:val="clear" w:pos="709"/>
          <w:tab w:val="left" w:pos="0" w:leader="none"/>
        </w:tabs>
        <w:spacing w:before="0" w:after="60"/>
        <w:ind w:left="709" w:hanging="703"/>
        <w:jc w:val="both"/>
        <w:rPr>
          <w:sz w:val="22"/>
          <w:szCs w:val="22"/>
        </w:rPr>
      </w:pPr>
      <w:r>
        <w:rPr>
          <w:b/>
          <w:sz w:val="22"/>
          <w:szCs w:val="22"/>
        </w:rPr>
        <w:t>6.2</w:t>
      </w:r>
      <w:r>
        <w:rPr>
          <w:sz w:val="22"/>
          <w:szCs w:val="22"/>
        </w:rPr>
        <w:tab/>
        <w:t>Dodávky, práce a služby, které jsou předmětem této smlouvy zhotovitel dodá nebo provede v takovém rozsahu a jakosti, aby výsledkem bylo kompletní dílo odpovídající podmínkám stanoveným touto smlouvou a účelu použití.</w:t>
      </w:r>
    </w:p>
    <w:p>
      <w:pPr>
        <w:pStyle w:val="Normal"/>
        <w:tabs>
          <w:tab w:val="clear" w:pos="709"/>
          <w:tab w:val="left" w:pos="0" w:leader="none"/>
        </w:tabs>
        <w:spacing w:before="0" w:after="60"/>
        <w:ind w:left="709" w:hanging="703"/>
        <w:jc w:val="both"/>
        <w:rPr>
          <w:sz w:val="22"/>
          <w:szCs w:val="22"/>
        </w:rPr>
      </w:pPr>
      <w:r>
        <w:rPr>
          <w:b/>
          <w:sz w:val="22"/>
          <w:szCs w:val="22"/>
        </w:rPr>
        <w:t>6.3</w:t>
      </w:r>
      <w:r>
        <w:rPr>
          <w:sz w:val="22"/>
          <w:szCs w:val="22"/>
        </w:rPr>
        <w:tab/>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pPr>
        <w:pStyle w:val="Normal"/>
        <w:tabs>
          <w:tab w:val="clear" w:pos="709"/>
          <w:tab w:val="left" w:pos="0" w:leader="none"/>
        </w:tabs>
        <w:spacing w:before="0" w:after="60"/>
        <w:ind w:left="709" w:hanging="703"/>
        <w:jc w:val="both"/>
        <w:rPr>
          <w:sz w:val="22"/>
          <w:szCs w:val="22"/>
        </w:rPr>
      </w:pPr>
      <w:r>
        <w:rPr>
          <w:b/>
          <w:sz w:val="22"/>
          <w:szCs w:val="22"/>
        </w:rPr>
        <w:t>6.4</w:t>
      </w:r>
      <w:r>
        <w:rPr>
          <w:sz w:val="22"/>
          <w:szCs w:val="22"/>
        </w:rPr>
        <w:tab/>
        <w:t>Zhotovitel je povinen při realizaci díla dodržovat veškeré předpisy, pokud se vztahují k prováděnému dílu. Pokud porušením těchto předpisů zhotovitelem vznikne škoda, nese náklady zhotovitel.</w:t>
      </w:r>
    </w:p>
    <w:p>
      <w:pPr>
        <w:pStyle w:val="Normal"/>
        <w:tabs>
          <w:tab w:val="clear" w:pos="709"/>
          <w:tab w:val="left" w:pos="0" w:leader="none"/>
        </w:tabs>
        <w:spacing w:before="0" w:after="60"/>
        <w:ind w:left="709" w:hanging="703"/>
        <w:jc w:val="both"/>
        <w:rPr>
          <w:sz w:val="22"/>
          <w:szCs w:val="22"/>
        </w:rPr>
      </w:pPr>
      <w:r>
        <w:rPr>
          <w:b/>
          <w:sz w:val="22"/>
          <w:szCs w:val="22"/>
        </w:rPr>
        <w:t>6.5</w:t>
      </w:r>
      <w:r>
        <w:rPr>
          <w:sz w:val="22"/>
          <w:szCs w:val="22"/>
        </w:rPr>
        <w:tab/>
        <w:t xml:space="preserve">Předmět díla musí vyhovovat technickým a právním normám a ostatním předpisům platným v České republice. </w:t>
      </w:r>
    </w:p>
    <w:p>
      <w:pPr>
        <w:pStyle w:val="Normal"/>
        <w:tabs>
          <w:tab w:val="clear" w:pos="709"/>
          <w:tab w:val="left" w:pos="0" w:leader="none"/>
        </w:tabs>
        <w:spacing w:before="0" w:after="60"/>
        <w:ind w:left="709" w:hanging="703"/>
        <w:jc w:val="both"/>
        <w:rPr>
          <w:sz w:val="22"/>
          <w:szCs w:val="22"/>
        </w:rPr>
      </w:pPr>
      <w:r>
        <w:rPr>
          <w:b/>
          <w:sz w:val="22"/>
          <w:szCs w:val="22"/>
        </w:rPr>
        <w:t>6.6</w:t>
      </w:r>
      <w:r>
        <w:rPr>
          <w:sz w:val="22"/>
          <w:szCs w:val="22"/>
        </w:rPr>
        <w:tab/>
        <w:t>Zhotovitel se zavazuje používat při provádění díla pouze výrobky, které splňují technické požadavky stanovené zákonem č. 22/1997 Sb., o technických požadavcích na výrobky, v platném znění, a předpisy souvisejícími. Veškeré materiály, zařízení apod. použité při zhotovování díla budou nové, nepoužité, nerepasované a budou odpovídat veškerým platným technickým normám a předpisům. Tuto skutečnost zhotovitel na vyžádání doloží příslušnými doklady. Smluvní strany se dohodly, že platné ČSN (české technické normy) jsou pro účely této smlouvy považovány za závazné.</w:t>
      </w:r>
    </w:p>
    <w:p>
      <w:pPr>
        <w:pStyle w:val="Normal"/>
        <w:tabs>
          <w:tab w:val="clear" w:pos="709"/>
          <w:tab w:val="left" w:pos="0" w:leader="none"/>
        </w:tabs>
        <w:spacing w:before="0" w:after="60"/>
        <w:ind w:left="709" w:hanging="703"/>
        <w:jc w:val="both"/>
        <w:rPr>
          <w:sz w:val="22"/>
          <w:szCs w:val="22"/>
        </w:rPr>
      </w:pPr>
      <w:r>
        <w:rPr>
          <w:b/>
          <w:sz w:val="22"/>
          <w:szCs w:val="22"/>
        </w:rPr>
        <w:t>6.7</w:t>
      </w:r>
      <w:r>
        <w:rPr>
          <w:sz w:val="22"/>
          <w:szCs w:val="22"/>
        </w:rPr>
        <w:tab/>
        <w:t>Zhotovitel prohlašuje, že mu jsou známy technické, kvalitativní a specifické podmínky, za nichž se má dílo realizovat.</w:t>
      </w:r>
    </w:p>
    <w:p>
      <w:pPr>
        <w:pStyle w:val="Normal"/>
        <w:spacing w:before="0" w:after="60"/>
        <w:ind w:left="703" w:hanging="703"/>
        <w:jc w:val="both"/>
        <w:rPr>
          <w:iCs/>
          <w:sz w:val="22"/>
          <w:szCs w:val="22"/>
        </w:rPr>
      </w:pPr>
      <w:r>
        <w:rPr>
          <w:b/>
          <w:iCs/>
          <w:sz w:val="22"/>
          <w:szCs w:val="22"/>
        </w:rPr>
        <w:t>6.8</w:t>
      </w:r>
      <w:r>
        <w:rPr>
          <w:iCs/>
          <w:sz w:val="22"/>
          <w:szCs w:val="22"/>
        </w:rPr>
        <w:t xml:space="preserve"> </w:t>
        <w:tab/>
        <w:t>O předání věci k provedení díla bude sepsán zápis, který bude obsahovat informace o tom, co a v jakém stavu a rozsahu bylo předáno, kdo předal a převzal, kdy a kde k převzetí došlo.</w:t>
      </w:r>
    </w:p>
    <w:p>
      <w:pPr>
        <w:pStyle w:val="Normal"/>
        <w:spacing w:before="0" w:after="60"/>
        <w:ind w:left="703" w:hanging="703"/>
        <w:jc w:val="both"/>
        <w:rPr>
          <w:iCs/>
          <w:sz w:val="22"/>
          <w:szCs w:val="22"/>
        </w:rPr>
      </w:pPr>
      <w:r>
        <w:rPr>
          <w:b/>
          <w:iCs/>
          <w:sz w:val="22"/>
          <w:szCs w:val="22"/>
        </w:rPr>
        <w:t>6.9</w:t>
      </w:r>
      <w:r>
        <w:rPr>
          <w:iCs/>
          <w:sz w:val="22"/>
          <w:szCs w:val="22"/>
        </w:rPr>
        <w:tab/>
        <w:t>Objednatel je povinen poskytnout zhotoviteli ke splnění díla 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pPr>
        <w:pStyle w:val="Normal"/>
        <w:spacing w:before="0" w:after="60"/>
        <w:ind w:left="703" w:hanging="703"/>
        <w:jc w:val="both"/>
        <w:rPr>
          <w:iCs/>
          <w:sz w:val="22"/>
          <w:szCs w:val="22"/>
        </w:rPr>
      </w:pPr>
      <w:r>
        <w:rPr>
          <w:b/>
          <w:iCs/>
          <w:sz w:val="22"/>
          <w:szCs w:val="22"/>
        </w:rPr>
        <w:t>6.10</w:t>
      </w:r>
      <w:r>
        <w:rPr>
          <w:iCs/>
          <w:sz w:val="22"/>
          <w:szCs w:val="22"/>
        </w:rPr>
        <w:tab/>
        <w:t>Objednatel je povinen zhotoviteli poskytnout veškeré podklady a informace nezbytné k provedení díla.</w:t>
      </w:r>
    </w:p>
    <w:p>
      <w:pPr>
        <w:pStyle w:val="Normal"/>
        <w:spacing w:before="0" w:after="60"/>
        <w:ind w:left="703" w:hanging="703"/>
        <w:jc w:val="both"/>
        <w:rPr>
          <w:sz w:val="22"/>
          <w:szCs w:val="22"/>
        </w:rPr>
      </w:pPr>
      <w:r>
        <w:rPr>
          <w:b/>
          <w:iCs/>
          <w:sz w:val="22"/>
          <w:szCs w:val="22"/>
        </w:rPr>
        <w:t>6.11</w:t>
      </w:r>
      <w:r>
        <w:rPr>
          <w:iCs/>
          <w:sz w:val="22"/>
          <w:szCs w:val="22"/>
        </w:rPr>
        <w:tab/>
        <w:t>Objednatel je oprávněn kontrolovat provádění díla prostřednictví pověřených osob</w:t>
      </w:r>
      <w:r>
        <w:rPr>
          <w:sz w:val="22"/>
          <w:szCs w:val="22"/>
        </w:rPr>
        <w:t>.</w:t>
      </w:r>
    </w:p>
    <w:p>
      <w:pPr>
        <w:pStyle w:val="Normal"/>
        <w:spacing w:before="0" w:after="60"/>
        <w:ind w:left="703" w:hanging="703"/>
        <w:jc w:val="both"/>
        <w:rPr>
          <w:sz w:val="22"/>
          <w:szCs w:val="22"/>
        </w:rPr>
      </w:pPr>
      <w:r>
        <w:rPr>
          <w:b/>
          <w:iCs/>
          <w:sz w:val="22"/>
          <w:szCs w:val="22"/>
        </w:rPr>
        <w:t>6.12</w:t>
      </w:r>
      <w:r>
        <w:rPr>
          <w:iCs/>
          <w:sz w:val="22"/>
          <w:szCs w:val="22"/>
        </w:rPr>
        <w:tab/>
        <w:t>Na výzvu objednatele je zhotovitel povinen průběžně jej informovat o stavu rozpracovaného díla, předkládat mu dílčí výsledky a rozpracovanou dokumentaci s ním konzultovat</w:t>
      </w:r>
      <w:r>
        <w:rPr>
          <w:sz w:val="22"/>
          <w:szCs w:val="22"/>
        </w:rPr>
        <w:t>.</w:t>
      </w:r>
    </w:p>
    <w:p>
      <w:pPr>
        <w:pStyle w:val="Normal"/>
        <w:spacing w:before="0" w:after="60"/>
        <w:ind w:left="703" w:hanging="703"/>
        <w:jc w:val="both"/>
        <w:rPr>
          <w:iCs/>
          <w:sz w:val="22"/>
          <w:szCs w:val="22"/>
        </w:rPr>
      </w:pPr>
      <w:r>
        <w:rPr>
          <w:b/>
          <w:iCs/>
          <w:sz w:val="22"/>
          <w:szCs w:val="22"/>
        </w:rPr>
        <w:t>6.13</w:t>
      </w:r>
      <w:r>
        <w:rPr>
          <w:iCs/>
          <w:sz w:val="22"/>
          <w:szCs w:val="22"/>
        </w:rPr>
        <w:tab/>
        <w:t>Část díla bude/nebude plněna prostřednictvím poddodavatele.</w:t>
      </w:r>
    </w:p>
    <w:p>
      <w:pPr>
        <w:pStyle w:val="Normal"/>
        <w:tabs>
          <w:tab w:val="clear" w:pos="709"/>
          <w:tab w:val="left" w:pos="0" w:leader="none"/>
        </w:tabs>
        <w:ind w:left="709" w:hanging="706"/>
        <w:jc w:val="left"/>
        <w:rPr/>
      </w:pPr>
      <w:r>
        <w:rPr>
          <w:i/>
          <w:sz w:val="22"/>
          <w:szCs w:val="22"/>
        </w:rPr>
        <w:tab/>
        <w:t xml:space="preserve">Pokud bude část díla dle této smlouvy plněna prostřednictvím poddodavatele, zhotovitel závazně uvádí identifikační údaje dotčeného poddodavatele a specifikaci části díla, které bude plněno prostřednictvím poddodavatele: ……………………………………………………………………………………………(doplní účastník) </w:t>
      </w:r>
    </w:p>
    <w:p>
      <w:pPr>
        <w:pStyle w:val="Normal"/>
        <w:spacing w:before="0" w:after="60"/>
        <w:ind w:left="703" w:hanging="703"/>
        <w:jc w:val="both"/>
        <w:rPr>
          <w:i/>
          <w:i/>
          <w:sz w:val="22"/>
          <w:szCs w:val="22"/>
        </w:rPr>
      </w:pPr>
      <w:r>
        <w:rPr>
          <w:i/>
          <w:sz w:val="22"/>
          <w:szCs w:val="22"/>
        </w:rPr>
        <w:t xml:space="preserve">             </w:t>
      </w:r>
      <w:r>
        <w:rPr>
          <w:i/>
          <w:sz w:val="22"/>
          <w:szCs w:val="22"/>
        </w:rPr>
        <w:t xml:space="preserve">Změnu poddodavatele, jehož prostřednictvím zhotovitel prokázal v rámci zadávacího řízení na realizaci díla kvalifikační předpoklady, není zhotovitel oprávněn provést bez předchozího písemného souhlasu objednatele. </w:t>
      </w:r>
    </w:p>
    <w:p>
      <w:pPr>
        <w:pStyle w:val="Normal"/>
        <w:spacing w:before="0" w:after="60"/>
        <w:ind w:left="703" w:hanging="703"/>
        <w:jc w:val="both"/>
        <w:rPr>
          <w:iCs/>
          <w:sz w:val="22"/>
          <w:szCs w:val="22"/>
        </w:rPr>
      </w:pPr>
      <w:r>
        <w:rPr>
          <w:b/>
          <w:bCs/>
          <w:iCs/>
          <w:sz w:val="22"/>
          <w:szCs w:val="22"/>
        </w:rPr>
        <w:t>6.14</w:t>
      </w:r>
      <w:r>
        <w:rPr>
          <w:iCs/>
          <w:sz w:val="22"/>
          <w:szCs w:val="22"/>
        </w:rPr>
        <w:t xml:space="preserve"> </w:t>
        <w:tab/>
        <w:t>Veškeré odborné práce musí vykonávat pracovníci zhotovitele nebo poddodavatelů mající příslušnou kvalifikaci. Doklad o jejich kvalifikaci je zhotovitel na požádání objednatele povinen předložit.</w:t>
      </w:r>
    </w:p>
    <w:p>
      <w:pPr>
        <w:pStyle w:val="Normal"/>
        <w:tabs>
          <w:tab w:val="clear" w:pos="709"/>
          <w:tab w:val="left" w:pos="0" w:leader="none"/>
        </w:tabs>
        <w:spacing w:before="0" w:after="60"/>
        <w:ind w:left="709" w:hanging="703"/>
        <w:jc w:val="both"/>
        <w:rPr>
          <w:sz w:val="22"/>
          <w:szCs w:val="22"/>
        </w:rPr>
      </w:pPr>
      <w:r>
        <w:rPr>
          <w:b/>
          <w:sz w:val="22"/>
          <w:szCs w:val="22"/>
        </w:rPr>
        <w:t>6.15</w:t>
      </w:r>
      <w:r>
        <w:rPr>
          <w:sz w:val="22"/>
          <w:szCs w:val="22"/>
        </w:rPr>
        <w:tab/>
        <w:t>Zhotovitel není oprávněn použít podklady a údaje předané mu pro realizaci díla objednatelem pro jiné účely než je provedení díla dle této smlouvy.</w:t>
      </w:r>
    </w:p>
    <w:p>
      <w:pPr>
        <w:pStyle w:val="Normal"/>
        <w:tabs>
          <w:tab w:val="clear" w:pos="709"/>
          <w:tab w:val="left" w:pos="0" w:leader="none"/>
        </w:tabs>
        <w:spacing w:before="0" w:after="60"/>
        <w:ind w:left="709" w:hanging="703"/>
        <w:jc w:val="both"/>
        <w:rPr>
          <w:sz w:val="22"/>
          <w:szCs w:val="22"/>
        </w:rPr>
      </w:pPr>
      <w:r>
        <w:rPr>
          <w:b/>
          <w:sz w:val="22"/>
          <w:szCs w:val="22"/>
        </w:rPr>
        <w:t>6.16</w:t>
      </w:r>
      <w:r>
        <w:rPr>
          <w:sz w:val="22"/>
          <w:szCs w:val="22"/>
        </w:rPr>
        <w:tab/>
        <w:t>Zhotovitel je povinen poskytnout veškerou součinnost při plnění povinností objednatele dle zákona č. 134/2016 Sb., ZZVZ, zejména k poskytnutí informací, jejichž zveřejnění ukládá § 219 ZZVZ.</w:t>
      </w:r>
    </w:p>
    <w:p>
      <w:pPr>
        <w:pStyle w:val="Normal"/>
        <w:tabs>
          <w:tab w:val="clear" w:pos="709"/>
          <w:tab w:val="left" w:pos="0" w:leader="none"/>
        </w:tabs>
        <w:spacing w:before="0" w:after="60"/>
        <w:ind w:left="709" w:hanging="703"/>
        <w:jc w:val="both"/>
        <w:rPr>
          <w:sz w:val="22"/>
          <w:szCs w:val="22"/>
        </w:rPr>
      </w:pPr>
      <w:r>
        <w:rPr>
          <w:b/>
          <w:sz w:val="22"/>
          <w:szCs w:val="22"/>
        </w:rPr>
        <w:t>6.17</w:t>
      </w:r>
      <w:r>
        <w:rPr>
          <w:sz w:val="22"/>
          <w:szCs w:val="22"/>
        </w:rPr>
        <w:tab/>
        <w:t>Veškerá dokumentace k dílu musí být v českém jazyce.</w:t>
      </w:r>
    </w:p>
    <w:p>
      <w:pPr>
        <w:pStyle w:val="Normal"/>
        <w:spacing w:before="0" w:after="60"/>
        <w:ind w:left="703" w:hanging="703"/>
        <w:jc w:val="both"/>
        <w:rPr>
          <w:sz w:val="22"/>
          <w:szCs w:val="22"/>
        </w:rPr>
      </w:pPr>
      <w:r>
        <w:rPr>
          <w:b/>
          <w:sz w:val="22"/>
          <w:szCs w:val="22"/>
        </w:rPr>
        <w:t>6.18</w:t>
      </w:r>
      <w:r>
        <w:rPr>
          <w:sz w:val="22"/>
          <w:szCs w:val="22"/>
        </w:rPr>
        <w:tab/>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pPr>
        <w:pStyle w:val="Normal"/>
        <w:tabs>
          <w:tab w:val="clear" w:pos="709"/>
          <w:tab w:val="left" w:pos="0" w:leader="none"/>
        </w:tabs>
        <w:spacing w:before="0" w:after="60"/>
        <w:ind w:left="703" w:hanging="703"/>
        <w:jc w:val="both"/>
        <w:rPr>
          <w:sz w:val="22"/>
          <w:szCs w:val="22"/>
        </w:rPr>
      </w:pPr>
      <w:r>
        <w:rPr>
          <w:b/>
          <w:sz w:val="22"/>
          <w:szCs w:val="22"/>
        </w:rPr>
        <w:t>6.19</w:t>
      </w:r>
      <w:r>
        <w:rPr>
          <w:sz w:val="22"/>
          <w:szCs w:val="22"/>
        </w:rPr>
        <w:t xml:space="preserve"> </w:t>
        <w:tab/>
        <w:t xml:space="preserve">Zhotovitel prohlašuje, že dílo není zatíženo žádnými právy  třetích osob. Zhotovitel odpovídá za případné porušení práv z průmyslového nebo jiného duševního vlastnictví třetích osob. </w:t>
      </w:r>
    </w:p>
    <w:p>
      <w:pPr>
        <w:pStyle w:val="Normal"/>
        <w:tabs>
          <w:tab w:val="clear" w:pos="709"/>
          <w:tab w:val="left" w:pos="0" w:leader="none"/>
        </w:tabs>
        <w:ind w:left="705" w:hanging="705"/>
        <w:jc w:val="both"/>
        <w:rPr>
          <w:sz w:val="22"/>
          <w:szCs w:val="22"/>
        </w:rPr>
      </w:pPr>
      <w:r>
        <w:rPr>
          <w:b/>
          <w:sz w:val="22"/>
          <w:szCs w:val="22"/>
        </w:rPr>
        <w:t>6.20</w:t>
      </w:r>
      <w:r>
        <w:rPr>
          <w:sz w:val="22"/>
          <w:szCs w:val="22"/>
        </w:rPr>
        <w:tab/>
        <w:t>Nastanou-li u některé ze smluvních stran skutečnosti bránící řádnému plnění této smlouvy, je povinna to ihned bez zbytečného odkladu oznámit druhé smluvní straně a vyvolat jednání smluvních stran.</w:t>
      </w:r>
    </w:p>
    <w:p>
      <w:pPr>
        <w:pStyle w:val="Normal"/>
        <w:tabs>
          <w:tab w:val="clear" w:pos="709"/>
          <w:tab w:val="left" w:pos="0" w:leader="none"/>
        </w:tabs>
        <w:ind w:left="705" w:hanging="705"/>
        <w:jc w:val="both"/>
        <w:rPr>
          <w:sz w:val="22"/>
          <w:szCs w:val="22"/>
        </w:rPr>
      </w:pPr>
      <w:r>
        <w:rPr>
          <w:sz w:val="22"/>
          <w:szCs w:val="22"/>
        </w:rPr>
      </w:r>
    </w:p>
    <w:p>
      <w:pPr>
        <w:pStyle w:val="Normal"/>
        <w:tabs>
          <w:tab w:val="clear" w:pos="709"/>
          <w:tab w:val="left" w:pos="0" w:leader="none"/>
        </w:tabs>
        <w:ind w:left="705" w:hanging="705"/>
        <w:jc w:val="both"/>
        <w:rPr>
          <w:sz w:val="22"/>
          <w:szCs w:val="22"/>
        </w:rPr>
      </w:pPr>
      <w:r>
        <w:rPr>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t>Článek 7</w:t>
      </w:r>
    </w:p>
    <w:p>
      <w:pPr>
        <w:pStyle w:val="Normal"/>
        <w:jc w:val="center"/>
        <w:rPr>
          <w:b/>
          <w:b/>
          <w:sz w:val="22"/>
          <w:szCs w:val="22"/>
        </w:rPr>
      </w:pPr>
      <w:r>
        <w:rPr>
          <w:b/>
          <w:sz w:val="22"/>
          <w:szCs w:val="22"/>
        </w:rPr>
        <w:t>Převzetí díla</w:t>
      </w:r>
    </w:p>
    <w:p>
      <w:pPr>
        <w:pStyle w:val="Normal"/>
        <w:jc w:val="center"/>
        <w:rPr>
          <w:b/>
          <w:b/>
          <w:sz w:val="22"/>
          <w:szCs w:val="22"/>
        </w:rPr>
      </w:pPr>
      <w:r>
        <w:rPr>
          <w:b/>
          <w:sz w:val="22"/>
          <w:szCs w:val="22"/>
        </w:rPr>
      </w:r>
    </w:p>
    <w:p>
      <w:pPr>
        <w:pStyle w:val="Normal"/>
        <w:spacing w:before="0" w:after="60"/>
        <w:ind w:left="703" w:hanging="703"/>
        <w:jc w:val="both"/>
        <w:rPr>
          <w:sz w:val="22"/>
          <w:szCs w:val="22"/>
        </w:rPr>
      </w:pPr>
      <w:r>
        <w:rPr>
          <w:b/>
          <w:sz w:val="22"/>
          <w:szCs w:val="22"/>
        </w:rPr>
        <w:t>7.1</w:t>
      </w:r>
      <w:r>
        <w:rPr>
          <w:sz w:val="22"/>
          <w:szCs w:val="22"/>
        </w:rPr>
        <w:t xml:space="preserve"> </w:t>
        <w:tab/>
        <w:t>Předmět díla bude zhotovitelem předán v termínu sjednaném pro předání díla v čl. 3.2 smlouvy.</w:t>
      </w:r>
    </w:p>
    <w:p>
      <w:pPr>
        <w:pStyle w:val="Normal"/>
        <w:spacing w:before="0" w:after="60"/>
        <w:ind w:left="703" w:hanging="703"/>
        <w:jc w:val="both"/>
        <w:rPr>
          <w:sz w:val="22"/>
          <w:szCs w:val="22"/>
        </w:rPr>
      </w:pPr>
      <w:r>
        <w:rPr>
          <w:b/>
          <w:sz w:val="22"/>
          <w:szCs w:val="22"/>
        </w:rPr>
        <w:t>7.2</w:t>
      </w:r>
      <w:r>
        <w:rPr>
          <w:sz w:val="22"/>
          <w:szCs w:val="22"/>
        </w:rPr>
        <w:tab/>
        <w:t>Zhotovitel je povinen včas objednatele vyzvat k převzetí předmětu díla. Důkazní břemeno prokazující vyzvání objednatele k převzetí díla a jeho včasnost nese zhotovitel.</w:t>
      </w:r>
    </w:p>
    <w:p>
      <w:pPr>
        <w:pStyle w:val="Normal"/>
        <w:spacing w:before="0" w:after="60"/>
        <w:ind w:left="703" w:hanging="703"/>
        <w:jc w:val="both"/>
        <w:rPr>
          <w:sz w:val="22"/>
          <w:szCs w:val="22"/>
        </w:rPr>
      </w:pPr>
      <w:r>
        <w:rPr>
          <w:b/>
          <w:sz w:val="22"/>
          <w:szCs w:val="22"/>
        </w:rPr>
        <w:t>7.3</w:t>
      </w:r>
      <w:r>
        <w:rPr>
          <w:sz w:val="22"/>
          <w:szCs w:val="22"/>
        </w:rPr>
        <w:tab/>
        <w:t>Dílo se považuje za dokončené dnem protokolárního předání zhotovitelem a jeho převzetí objednatelem, a to bez vad a nedodělků, s výjimkou ojedinělých drobných vad nebránících užívání. Součástí splnění díla je provedení všech zkoušek stanovených příslušnými předpisy a normami dle potřeby použitých technologií a stavu místa provedení díla.</w:t>
      </w:r>
    </w:p>
    <w:p>
      <w:pPr>
        <w:pStyle w:val="Normal"/>
        <w:tabs>
          <w:tab w:val="clear" w:pos="709"/>
          <w:tab w:val="left" w:pos="0" w:leader="none"/>
        </w:tabs>
        <w:ind w:left="705" w:hanging="705"/>
        <w:jc w:val="both"/>
        <w:rPr>
          <w:sz w:val="22"/>
          <w:szCs w:val="22"/>
        </w:rPr>
      </w:pPr>
      <w:r>
        <w:rPr>
          <w:b/>
          <w:sz w:val="22"/>
          <w:szCs w:val="22"/>
        </w:rPr>
        <w:t>7.4</w:t>
      </w:r>
      <w:r>
        <w:rPr>
          <w:sz w:val="22"/>
          <w:szCs w:val="22"/>
        </w:rPr>
        <w:t xml:space="preserve"> </w:t>
        <w:tab/>
        <w:tab/>
        <w:t>Při předání díla bude za účasti obou smluvních stran provedena prohlídka. Zhotovitel se zavazuje, že při předání díla bude přítomna osoba pověřená statutárním orgánem zhotovitele.</w:t>
      </w:r>
    </w:p>
    <w:p>
      <w:pPr>
        <w:pStyle w:val="Normal"/>
        <w:tabs>
          <w:tab w:val="clear" w:pos="709"/>
          <w:tab w:val="left" w:pos="0" w:leader="none"/>
        </w:tabs>
        <w:ind w:left="705" w:hanging="705"/>
        <w:jc w:val="both"/>
        <w:rPr>
          <w:sz w:val="22"/>
          <w:szCs w:val="22"/>
        </w:rPr>
      </w:pPr>
      <w:r>
        <w:rPr>
          <w:sz w:val="22"/>
          <w:szCs w:val="22"/>
        </w:rPr>
        <w:tab/>
        <w:t>Po provedené prohlídce bude dílo:</w:t>
      </w:r>
    </w:p>
    <w:p>
      <w:pPr>
        <w:pStyle w:val="Normal"/>
        <w:widowControl w:val="false"/>
        <w:numPr>
          <w:ilvl w:val="0"/>
          <w:numId w:val="5"/>
        </w:numPr>
        <w:tabs>
          <w:tab w:val="clear" w:pos="709"/>
          <w:tab w:val="left" w:pos="426" w:leader="none"/>
          <w:tab w:val="left" w:pos="7088" w:leader="none"/>
          <w:tab w:val="left" w:pos="8222" w:leader="none"/>
        </w:tabs>
        <w:jc w:val="both"/>
        <w:rPr>
          <w:sz w:val="22"/>
          <w:szCs w:val="22"/>
        </w:rPr>
      </w:pPr>
      <w:r>
        <w:rPr>
          <w:sz w:val="22"/>
          <w:szCs w:val="22"/>
        </w:rPr>
        <w:t>objednatelem převzato bez vad a bude uznáno za dokončené a o předání bude podepsán zápis o předání a převzetí díla, nebo</w:t>
      </w:r>
    </w:p>
    <w:p>
      <w:pPr>
        <w:pStyle w:val="Normal"/>
        <w:widowControl w:val="false"/>
        <w:numPr>
          <w:ilvl w:val="0"/>
          <w:numId w:val="5"/>
        </w:numPr>
        <w:tabs>
          <w:tab w:val="clear" w:pos="709"/>
          <w:tab w:val="left" w:pos="426" w:leader="none"/>
          <w:tab w:val="left" w:pos="7088" w:leader="none"/>
          <w:tab w:val="left" w:pos="8222" w:leader="none"/>
        </w:tabs>
        <w:jc w:val="both"/>
        <w:rPr>
          <w:sz w:val="22"/>
          <w:szCs w:val="22"/>
        </w:rPr>
      </w:pPr>
      <w:r>
        <w:rPr>
          <w:sz w:val="22"/>
          <w:szCs w:val="22"/>
        </w:rPr>
        <w:t>objednatel dílo převezme s výhradou ojedinělých drobných vad nebránících užívání, zároveň strany dohodnou termín a způsob odstranění vad, nebo</w:t>
      </w:r>
    </w:p>
    <w:p>
      <w:pPr>
        <w:pStyle w:val="Normal"/>
        <w:widowControl w:val="false"/>
        <w:numPr>
          <w:ilvl w:val="0"/>
          <w:numId w:val="5"/>
        </w:numPr>
        <w:tabs>
          <w:tab w:val="clear" w:pos="709"/>
          <w:tab w:val="left" w:pos="426" w:leader="none"/>
          <w:tab w:val="left" w:pos="7088" w:leader="none"/>
          <w:tab w:val="left" w:pos="8222" w:leader="none"/>
        </w:tabs>
        <w:spacing w:before="0" w:after="60"/>
        <w:ind w:left="1060" w:hanging="357"/>
        <w:jc w:val="both"/>
        <w:rPr>
          <w:sz w:val="22"/>
          <w:szCs w:val="22"/>
        </w:rPr>
      </w:pPr>
      <w:r>
        <w:rPr>
          <w:sz w:val="22"/>
          <w:szCs w:val="22"/>
        </w:rPr>
        <w:t>objednatel dílo nepřevezme, protože dílo má vady, a tedy není dokončené. O odmítnutí bude sepsán oběma stranami zápis, který bude obsahovat specifikaci vytýkaných vad a vyjádření obou smluvních stran.</w:t>
      </w:r>
      <w:r>
        <w:rPr>
          <w:color w:val="FF0000"/>
          <w:spacing w:val="-4"/>
          <w:sz w:val="22"/>
          <w:szCs w:val="22"/>
        </w:rPr>
        <w:t xml:space="preserve"> </w:t>
      </w:r>
    </w:p>
    <w:p>
      <w:pPr>
        <w:pStyle w:val="Normal"/>
        <w:tabs>
          <w:tab w:val="clear" w:pos="709"/>
          <w:tab w:val="left" w:pos="0" w:leader="none"/>
        </w:tabs>
        <w:spacing w:before="0" w:after="60"/>
        <w:ind w:left="709" w:hanging="703"/>
        <w:jc w:val="both"/>
        <w:rPr>
          <w:spacing w:val="-4"/>
          <w:sz w:val="22"/>
          <w:szCs w:val="22"/>
        </w:rPr>
      </w:pPr>
      <w:r>
        <w:rPr>
          <w:b/>
          <w:spacing w:val="-4"/>
          <w:sz w:val="22"/>
          <w:szCs w:val="22"/>
        </w:rPr>
        <w:t>7.5</w:t>
      </w:r>
      <w:r>
        <w:rPr>
          <w:spacing w:val="-4"/>
          <w:sz w:val="22"/>
          <w:szCs w:val="22"/>
        </w:rPr>
        <w:t xml:space="preserve"> </w:t>
        <w:tab/>
        <w:t xml:space="preserve">Zápis o </w:t>
      </w:r>
      <w:r>
        <w:rPr>
          <w:iCs/>
          <w:sz w:val="22"/>
          <w:szCs w:val="22"/>
        </w:rPr>
        <w:t>předání a převzetí díla bude obsahovat informace o tom, co a v jakém stavu a rozsahu bylo předáno, kdo předal a převzal, kdy a kde k převzetí došlo</w:t>
      </w:r>
      <w:r>
        <w:rPr>
          <w:i/>
          <w:iCs/>
          <w:sz w:val="22"/>
          <w:szCs w:val="22"/>
        </w:rPr>
        <w:t>.</w:t>
      </w:r>
      <w:r>
        <w:rPr>
          <w:iCs/>
          <w:sz w:val="22"/>
          <w:szCs w:val="22"/>
        </w:rPr>
        <w:t xml:space="preserve"> Zápis bude za objednatele podepsán až po odsouhlasení soupisu provedených prací a dodávek.</w:t>
      </w:r>
    </w:p>
    <w:p>
      <w:pPr>
        <w:pStyle w:val="Normal"/>
        <w:tabs>
          <w:tab w:val="clear" w:pos="709"/>
          <w:tab w:val="left" w:pos="0" w:leader="none"/>
        </w:tabs>
        <w:ind w:left="705" w:hanging="705"/>
        <w:jc w:val="both"/>
        <w:rPr>
          <w:iCs/>
          <w:sz w:val="22"/>
          <w:szCs w:val="22"/>
        </w:rPr>
      </w:pPr>
      <w:r>
        <w:rPr>
          <w:b/>
          <w:sz w:val="22"/>
          <w:szCs w:val="22"/>
        </w:rPr>
        <w:t>7.6</w:t>
      </w:r>
      <w:r>
        <w:rPr>
          <w:sz w:val="22"/>
          <w:szCs w:val="22"/>
        </w:rPr>
        <w:tab/>
        <w:t xml:space="preserve">Předmět díla bude předán objednateli v dohodnutém místě, kterým je: Nemocnice Pardubického kraje, a.s., pracoviště </w:t>
      </w:r>
      <w:r>
        <w:rPr>
          <w:iCs/>
          <w:sz w:val="22"/>
          <w:szCs w:val="22"/>
        </w:rPr>
        <w:t>Orlickoústecká nemocnice, Čs. armády 1076, 562 18 Ústí nad Orlicí.</w:t>
      </w:r>
    </w:p>
    <w:p>
      <w:pPr>
        <w:pStyle w:val="Normal"/>
        <w:jc w:val="both"/>
        <w:rPr>
          <w:sz w:val="22"/>
          <w:szCs w:val="22"/>
        </w:rPr>
      </w:pPr>
      <w:r>
        <w:rPr>
          <w:sz w:val="22"/>
          <w:szCs w:val="22"/>
        </w:rPr>
      </w:r>
    </w:p>
    <w:p>
      <w:pPr>
        <w:pStyle w:val="Normal"/>
        <w:jc w:val="both"/>
        <w:rPr>
          <w:sz w:val="22"/>
          <w:szCs w:val="22"/>
        </w:rPr>
      </w:pPr>
      <w:r>
        <w:rPr>
          <w:sz w:val="22"/>
          <w:szCs w:val="22"/>
        </w:rPr>
      </w:r>
    </w:p>
    <w:p>
      <w:pPr>
        <w:pStyle w:val="Normal"/>
        <w:jc w:val="center"/>
        <w:rPr>
          <w:b/>
          <w:b/>
          <w:bCs/>
          <w:sz w:val="22"/>
          <w:szCs w:val="22"/>
        </w:rPr>
      </w:pPr>
      <w:r>
        <w:rPr>
          <w:b/>
          <w:bCs/>
          <w:sz w:val="22"/>
          <w:szCs w:val="22"/>
        </w:rPr>
        <w:t>Článek 8</w:t>
      </w:r>
    </w:p>
    <w:p>
      <w:pPr>
        <w:pStyle w:val="Normal"/>
        <w:jc w:val="center"/>
        <w:rPr>
          <w:b/>
          <w:b/>
          <w:sz w:val="22"/>
          <w:szCs w:val="22"/>
        </w:rPr>
      </w:pPr>
      <w:r>
        <w:rPr>
          <w:b/>
          <w:sz w:val="22"/>
          <w:szCs w:val="22"/>
        </w:rPr>
        <w:t>Záruka za jakost, vady díla</w:t>
      </w:r>
    </w:p>
    <w:p>
      <w:pPr>
        <w:pStyle w:val="Normal"/>
        <w:jc w:val="center"/>
        <w:rPr>
          <w:b/>
          <w:b/>
          <w:sz w:val="22"/>
          <w:szCs w:val="22"/>
        </w:rPr>
      </w:pPr>
      <w:r>
        <w:rPr>
          <w:b/>
          <w:sz w:val="22"/>
          <w:szCs w:val="22"/>
        </w:rPr>
      </w:r>
    </w:p>
    <w:p>
      <w:pPr>
        <w:pStyle w:val="Normal"/>
        <w:spacing w:before="0" w:after="60"/>
        <w:ind w:left="703" w:hanging="703"/>
        <w:jc w:val="both"/>
        <w:rPr>
          <w:sz w:val="22"/>
          <w:szCs w:val="22"/>
        </w:rPr>
      </w:pPr>
      <w:r>
        <w:rPr>
          <w:b/>
          <w:sz w:val="22"/>
          <w:szCs w:val="22"/>
        </w:rPr>
        <w:t>8.1</w:t>
      </w:r>
      <w:r>
        <w:rPr>
          <w:sz w:val="22"/>
          <w:szCs w:val="22"/>
        </w:rPr>
        <w:t xml:space="preserve"> </w:t>
        <w:tab/>
        <w:t xml:space="preserve">Zhotovitel přejímá záruku za jakost díla po </w:t>
      </w:r>
      <w:r>
        <w:rPr>
          <w:i/>
          <w:sz w:val="22"/>
          <w:szCs w:val="22"/>
        </w:rPr>
        <w:t>dobu 60 měsíců</w:t>
      </w:r>
      <w:r>
        <w:rPr>
          <w:sz w:val="22"/>
          <w:szCs w:val="22"/>
        </w:rPr>
        <w:t xml:space="preserve"> od předání a převzetí konečného díla nebo ode dne, kdy zhotovitel odstraní vady zjištěné při předání díla uvedené v předávacím protokolu.</w:t>
      </w:r>
    </w:p>
    <w:p>
      <w:pPr>
        <w:pStyle w:val="Normal"/>
        <w:spacing w:before="0" w:after="60"/>
        <w:ind w:left="703" w:hanging="703"/>
        <w:jc w:val="both"/>
        <w:rPr>
          <w:sz w:val="22"/>
          <w:szCs w:val="22"/>
        </w:rPr>
      </w:pPr>
      <w:r>
        <w:rPr>
          <w:b/>
          <w:sz w:val="22"/>
          <w:szCs w:val="22"/>
        </w:rPr>
        <w:t xml:space="preserve">8.2 </w:t>
        <w:tab/>
      </w:r>
      <w:r>
        <w:rPr>
          <w:sz w:val="22"/>
          <w:szCs w:val="22"/>
        </w:rPr>
        <w:t>Záruční doba neběží po dobu, po kterou objednatel nemůže užívat dílo pro jeho reklamované vady. Smluvní strany se výslovně dohodly, že vyskytne-li se v průběhu záruční doby skrytá vada díla, má se za to, že touto vadou dílo trpělo již v době předání.</w:t>
      </w:r>
    </w:p>
    <w:p>
      <w:pPr>
        <w:pStyle w:val="Normal"/>
        <w:spacing w:before="0" w:after="60"/>
        <w:jc w:val="both"/>
        <w:rPr>
          <w:sz w:val="22"/>
          <w:szCs w:val="22"/>
        </w:rPr>
      </w:pPr>
      <w:r>
        <w:rPr>
          <w:b/>
          <w:sz w:val="22"/>
          <w:szCs w:val="22"/>
        </w:rPr>
        <w:t>8.3</w:t>
      </w:r>
      <w:r>
        <w:rPr>
          <w:sz w:val="22"/>
          <w:szCs w:val="22"/>
        </w:rPr>
        <w:t xml:space="preserve"> </w:t>
        <w:tab/>
        <w:t xml:space="preserve">Práva z vadného plnění se řídí ustanoveními § 2615 a násl. a 2629 a násl. OZ. </w:t>
      </w:r>
    </w:p>
    <w:p>
      <w:pPr>
        <w:pStyle w:val="Normal"/>
        <w:spacing w:before="0" w:after="60"/>
        <w:jc w:val="both"/>
        <w:rPr>
          <w:sz w:val="22"/>
          <w:szCs w:val="22"/>
        </w:rPr>
      </w:pPr>
      <w:r>
        <w:rPr>
          <w:b/>
          <w:sz w:val="22"/>
          <w:szCs w:val="22"/>
        </w:rPr>
        <w:t>8.4</w:t>
      </w:r>
      <w:r>
        <w:rPr>
          <w:sz w:val="22"/>
          <w:szCs w:val="22"/>
        </w:rPr>
        <w:t xml:space="preserve"> </w:t>
        <w:tab/>
        <w:t>Reklamace se uplatňují písemně.</w:t>
      </w:r>
    </w:p>
    <w:p>
      <w:pPr>
        <w:pStyle w:val="Normal"/>
        <w:spacing w:before="0" w:after="60"/>
        <w:ind w:left="703" w:hanging="703"/>
        <w:jc w:val="both"/>
        <w:rPr>
          <w:sz w:val="22"/>
          <w:szCs w:val="22"/>
        </w:rPr>
      </w:pPr>
      <w:r>
        <w:rPr>
          <w:b/>
          <w:sz w:val="22"/>
          <w:szCs w:val="22"/>
        </w:rPr>
        <w:t>8.5</w:t>
      </w:r>
      <w:r>
        <w:rPr>
          <w:sz w:val="22"/>
          <w:szCs w:val="22"/>
        </w:rPr>
        <w:tab/>
        <w:t>Objednatel je povinen uplatnit zjištěné vady zboží u zhotovitele bez zbytečného odkladu poté, co je zjistil. Dnem nahlášení vady je den, kdy zhotovitel obdržel oznámení zjištěných vad.</w:t>
      </w:r>
    </w:p>
    <w:p>
      <w:pPr>
        <w:pStyle w:val="Normal"/>
        <w:spacing w:before="0" w:after="60"/>
        <w:ind w:left="703" w:hanging="703"/>
        <w:jc w:val="both"/>
        <w:rPr>
          <w:sz w:val="22"/>
          <w:szCs w:val="22"/>
        </w:rPr>
      </w:pPr>
      <w:r>
        <w:rPr>
          <w:b/>
          <w:sz w:val="22"/>
          <w:szCs w:val="22"/>
        </w:rPr>
        <w:t>8.6</w:t>
      </w:r>
      <w:r>
        <w:rPr>
          <w:sz w:val="22"/>
          <w:szCs w:val="22"/>
        </w:rPr>
        <w:tab/>
        <w:t xml:space="preserve">Zhotovitel je povinen se k reklamaci písemně vyjádřit </w:t>
      </w:r>
      <w:r>
        <w:rPr>
          <w:iCs/>
          <w:sz w:val="22"/>
          <w:szCs w:val="22"/>
        </w:rPr>
        <w:t>do 7 kalendářních dnů ode dne jejího obdržení.</w:t>
      </w:r>
      <w:r>
        <w:rPr>
          <w:sz w:val="22"/>
          <w:szCs w:val="22"/>
        </w:rPr>
        <w:t xml:space="preserve"> Ve svém vyjádření zhotovitel uvede, zda vady uznává (včetně návrhu způsobu a termínu jejich odstranění), nebo důvody, proč vady neuznává. Pokud tak neučiní, má se za to, že je reklamace oprávněná a zhotovitel je povinen odstranit vady do 14 kalendářních dnů od obdržení reklamace. Po uplynutí této lhůty je objednatel oprávněn 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pPr>
        <w:pStyle w:val="Normal"/>
        <w:spacing w:before="0" w:after="60"/>
        <w:ind w:left="703" w:hanging="703"/>
        <w:jc w:val="both"/>
        <w:rPr>
          <w:sz w:val="22"/>
          <w:szCs w:val="22"/>
        </w:rPr>
      </w:pPr>
      <w:r>
        <w:rPr>
          <w:b/>
          <w:sz w:val="22"/>
          <w:szCs w:val="22"/>
        </w:rPr>
        <w:t>8.7</w:t>
        <w:tab/>
      </w:r>
      <w:r>
        <w:rPr>
          <w:bCs/>
          <w:sz w:val="22"/>
          <w:szCs w:val="22"/>
        </w:rPr>
        <w:t>V případě havarijní vady je zhotovitel povinen dostavit se k odstranění vady nejpozději do 48 hodin od nahlášení havarijní vady. Nebude-li dohodnuto v konkrétním případě jinak, musí být havarijní vada zhotovitelem odstraněna nejpozději do 72 hodin od okamžiku nahlášení vady. Po uplynutí této lhůty je objednatel oprávněn nechat odstranit havarijní vady třetí osobou. Zhotovitel se pak zavazuje uhradit objednateli veškeré účelně vynaložené náklady na odstranění vady třetí osobou. Tímto není dotčen nárok objednatele na náhradu škody.</w:t>
      </w:r>
      <w:r>
        <w:rPr>
          <w:sz w:val="22"/>
          <w:szCs w:val="22"/>
        </w:rPr>
        <w:t xml:space="preserve"> </w:t>
      </w:r>
    </w:p>
    <w:p>
      <w:pPr>
        <w:pStyle w:val="Normal"/>
        <w:ind w:left="705" w:hanging="705"/>
        <w:jc w:val="both"/>
        <w:rPr>
          <w:sz w:val="22"/>
          <w:szCs w:val="22"/>
        </w:rPr>
      </w:pPr>
      <w:r>
        <w:rPr>
          <w:b/>
          <w:bCs/>
          <w:sz w:val="22"/>
          <w:szCs w:val="22"/>
        </w:rPr>
        <w:t>8.8</w:t>
      </w:r>
      <w:r>
        <w:rPr>
          <w:sz w:val="22"/>
          <w:szCs w:val="22"/>
        </w:rPr>
        <w:t xml:space="preserve"> </w:t>
        <w:tab/>
        <w:t>Objednateli náleží právo volby mezi nároky z vad dodaného plnění, přičemž je oprávněn po zhotoviteli:</w:t>
      </w:r>
    </w:p>
    <w:p>
      <w:pPr>
        <w:pStyle w:val="ListParagraph"/>
        <w:numPr>
          <w:ilvl w:val="0"/>
          <w:numId w:val="6"/>
        </w:numPr>
        <w:jc w:val="both"/>
        <w:rPr>
          <w:rFonts w:ascii="Times New Roman" w:hAnsi="Times New Roman" w:cs="Times New Roman"/>
          <w:szCs w:val="22"/>
        </w:rPr>
      </w:pPr>
      <w:r>
        <w:rPr>
          <w:rFonts w:cs="Times New Roman" w:ascii="Times New Roman" w:hAnsi="Times New Roman"/>
          <w:szCs w:val="22"/>
        </w:rPr>
        <w:t>nárokovat dodání chybějícího plnění;</w:t>
      </w:r>
    </w:p>
    <w:p>
      <w:pPr>
        <w:pStyle w:val="ListParagraph"/>
        <w:numPr>
          <w:ilvl w:val="0"/>
          <w:numId w:val="6"/>
        </w:numPr>
        <w:jc w:val="both"/>
        <w:rPr>
          <w:rFonts w:ascii="Times New Roman" w:hAnsi="Times New Roman" w:cs="Times New Roman"/>
          <w:szCs w:val="22"/>
        </w:rPr>
      </w:pPr>
      <w:r>
        <w:rPr>
          <w:rFonts w:cs="Times New Roman" w:ascii="Times New Roman" w:hAnsi="Times New Roman"/>
          <w:szCs w:val="22"/>
        </w:rPr>
        <w:t>nárokovat odstranění vad opravou plnění;</w:t>
      </w:r>
    </w:p>
    <w:p>
      <w:pPr>
        <w:pStyle w:val="ListParagraph"/>
        <w:numPr>
          <w:ilvl w:val="0"/>
          <w:numId w:val="6"/>
        </w:numPr>
        <w:jc w:val="both"/>
        <w:rPr>
          <w:rFonts w:ascii="Times New Roman" w:hAnsi="Times New Roman" w:cs="Times New Roman"/>
          <w:szCs w:val="22"/>
        </w:rPr>
      </w:pPr>
      <w:r>
        <w:rPr>
          <w:rFonts w:cs="Times New Roman" w:ascii="Times New Roman" w:hAnsi="Times New Roman"/>
          <w:szCs w:val="22"/>
        </w:rPr>
        <w:t>nárokovat dodání náhradního zboží za vadné plnění;</w:t>
      </w:r>
    </w:p>
    <w:p>
      <w:pPr>
        <w:pStyle w:val="ListParagraph"/>
        <w:numPr>
          <w:ilvl w:val="0"/>
          <w:numId w:val="6"/>
        </w:numPr>
        <w:jc w:val="both"/>
        <w:rPr>
          <w:rFonts w:ascii="Times New Roman" w:hAnsi="Times New Roman" w:cs="Times New Roman"/>
          <w:szCs w:val="22"/>
        </w:rPr>
      </w:pPr>
      <w:r>
        <w:rPr>
          <w:rFonts w:cs="Times New Roman" w:ascii="Times New Roman" w:hAnsi="Times New Roman"/>
          <w:szCs w:val="22"/>
        </w:rPr>
        <w:t>nárokovat slevu z ceny v rozsahu vadného či nedodaného plnění;</w:t>
      </w:r>
    </w:p>
    <w:p>
      <w:pPr>
        <w:pStyle w:val="ListParagraph"/>
        <w:numPr>
          <w:ilvl w:val="0"/>
          <w:numId w:val="6"/>
        </w:numPr>
        <w:spacing w:before="0" w:after="60"/>
        <w:ind w:left="1423" w:hanging="357"/>
        <w:contextualSpacing/>
        <w:jc w:val="both"/>
        <w:rPr>
          <w:rFonts w:ascii="Times New Roman" w:hAnsi="Times New Roman" w:cs="Times New Roman"/>
          <w:szCs w:val="22"/>
        </w:rPr>
      </w:pPr>
      <w:r>
        <w:rPr>
          <w:rFonts w:cs="Times New Roman" w:ascii="Times New Roman" w:hAnsi="Times New Roman"/>
          <w:szCs w:val="22"/>
        </w:rPr>
        <w:t>odstoupit od této smlouvy, bude-li se jednat o podstatnou vadu plnění;</w:t>
      </w:r>
    </w:p>
    <w:p>
      <w:pPr>
        <w:pStyle w:val="Normal"/>
        <w:spacing w:before="0" w:after="60"/>
        <w:jc w:val="both"/>
        <w:rPr>
          <w:sz w:val="22"/>
          <w:szCs w:val="22"/>
        </w:rPr>
      </w:pPr>
      <w:r>
        <w:rPr>
          <w:b/>
          <w:sz w:val="22"/>
          <w:szCs w:val="22"/>
        </w:rPr>
        <w:t>8.9</w:t>
      </w:r>
      <w:r>
        <w:rPr>
          <w:sz w:val="22"/>
          <w:szCs w:val="22"/>
        </w:rPr>
        <w:tab/>
        <w:t>O způsobu vyřízení reklamované vady bude sepsán protokol.</w:t>
      </w:r>
    </w:p>
    <w:p>
      <w:pPr>
        <w:pStyle w:val="Normal"/>
        <w:ind w:left="705" w:hanging="705"/>
        <w:jc w:val="both"/>
        <w:rPr>
          <w:sz w:val="22"/>
          <w:szCs w:val="22"/>
        </w:rPr>
      </w:pPr>
      <w:r>
        <w:rPr>
          <w:b/>
          <w:sz w:val="22"/>
          <w:szCs w:val="22"/>
        </w:rPr>
        <w:t>8.9</w:t>
      </w:r>
      <w:r>
        <w:rPr>
          <w:sz w:val="22"/>
          <w:szCs w:val="22"/>
        </w:rPr>
        <w:tab/>
        <w:t xml:space="preserve">Zhotovitel je povinen nahradit všechny škody, které vzniknou objednateli či třetí osobě v důsledku vady díla. </w:t>
      </w:r>
    </w:p>
    <w:p>
      <w:pPr>
        <w:pStyle w:val="Normal"/>
        <w:rPr>
          <w:b/>
          <w:b/>
          <w:sz w:val="22"/>
          <w:szCs w:val="22"/>
        </w:rPr>
      </w:pPr>
      <w:r>
        <w:rPr>
          <w:b/>
          <w:sz w:val="22"/>
          <w:szCs w:val="22"/>
        </w:rPr>
      </w:r>
    </w:p>
    <w:p>
      <w:pPr>
        <w:pStyle w:val="Normal"/>
        <w:jc w:val="both"/>
        <w:rPr>
          <w:sz w:val="22"/>
          <w:szCs w:val="22"/>
        </w:rPr>
      </w:pPr>
      <w:r>
        <w:rPr>
          <w:sz w:val="22"/>
          <w:szCs w:val="22"/>
        </w:rPr>
      </w:r>
    </w:p>
    <w:p>
      <w:pPr>
        <w:pStyle w:val="Normal"/>
        <w:jc w:val="center"/>
        <w:rPr>
          <w:b/>
          <w:b/>
          <w:bCs/>
          <w:sz w:val="22"/>
          <w:szCs w:val="22"/>
        </w:rPr>
      </w:pPr>
      <w:r>
        <w:rPr>
          <w:b/>
          <w:bCs/>
          <w:sz w:val="22"/>
          <w:szCs w:val="22"/>
        </w:rPr>
        <w:t>Článek 9</w:t>
      </w:r>
    </w:p>
    <w:p>
      <w:pPr>
        <w:pStyle w:val="Normal"/>
        <w:jc w:val="center"/>
        <w:rPr>
          <w:b/>
          <w:b/>
          <w:sz w:val="22"/>
          <w:szCs w:val="22"/>
        </w:rPr>
      </w:pPr>
      <w:r>
        <w:rPr>
          <w:b/>
          <w:sz w:val="22"/>
          <w:szCs w:val="22"/>
        </w:rPr>
        <w:t>Odpovědnost za škodu</w:t>
      </w:r>
    </w:p>
    <w:p>
      <w:pPr>
        <w:pStyle w:val="Normal"/>
        <w:jc w:val="center"/>
        <w:rPr>
          <w:b/>
          <w:b/>
          <w:sz w:val="22"/>
          <w:szCs w:val="22"/>
        </w:rPr>
      </w:pPr>
      <w:r>
        <w:rPr>
          <w:b/>
          <w:sz w:val="22"/>
          <w:szCs w:val="22"/>
        </w:rPr>
      </w:r>
    </w:p>
    <w:p>
      <w:pPr>
        <w:pStyle w:val="Normal"/>
        <w:spacing w:before="0" w:after="60"/>
        <w:ind w:left="703" w:hanging="703"/>
        <w:jc w:val="both"/>
        <w:rPr>
          <w:sz w:val="22"/>
          <w:szCs w:val="22"/>
        </w:rPr>
      </w:pPr>
      <w:r>
        <w:rPr>
          <w:b/>
          <w:sz w:val="22"/>
          <w:szCs w:val="22"/>
        </w:rPr>
        <w:t>9.1</w:t>
      </w:r>
      <w:r>
        <w:rPr>
          <w:sz w:val="22"/>
          <w:szCs w:val="22"/>
        </w:rPr>
        <w:t xml:space="preserve"> </w:t>
        <w:tab/>
        <w:t>Nebezpečí vzniku škody na věci předané k provedení díla přechází z objednatele na zhotovitele okamžikem předání věci a podpisem protokolu o předání věci smluvními stranami.</w:t>
      </w:r>
    </w:p>
    <w:p>
      <w:pPr>
        <w:pStyle w:val="Normal"/>
        <w:spacing w:before="0" w:after="60"/>
        <w:ind w:left="703" w:hanging="703"/>
        <w:jc w:val="both"/>
        <w:rPr>
          <w:sz w:val="22"/>
          <w:szCs w:val="22"/>
        </w:rPr>
      </w:pPr>
      <w:r>
        <w:rPr>
          <w:b/>
          <w:sz w:val="22"/>
          <w:szCs w:val="22"/>
        </w:rPr>
        <w:t>9.2</w:t>
      </w:r>
      <w:r>
        <w:rPr>
          <w:sz w:val="22"/>
          <w:szCs w:val="22"/>
        </w:rPr>
        <w:t xml:space="preserve"> </w:t>
        <w:tab/>
        <w:t>Nebezpečí škody na věcech předaných k provedení díla a prováděném díle až do předání objednateli nese zhotovitel.</w:t>
      </w:r>
    </w:p>
    <w:p>
      <w:pPr>
        <w:pStyle w:val="Normal"/>
        <w:spacing w:before="0" w:after="60"/>
        <w:ind w:left="703" w:hanging="703"/>
        <w:jc w:val="both"/>
        <w:rPr>
          <w:sz w:val="22"/>
          <w:szCs w:val="22"/>
        </w:rPr>
      </w:pPr>
      <w:r>
        <w:rPr>
          <w:b/>
          <w:sz w:val="22"/>
          <w:szCs w:val="22"/>
        </w:rPr>
        <w:t>9.3</w:t>
      </w:r>
      <w:r>
        <w:rPr>
          <w:sz w:val="22"/>
          <w:szCs w:val="22"/>
        </w:rPr>
        <w:t xml:space="preserve"> </w:t>
        <w:tab/>
        <w:t>Zhotovitel odpovídá za všechny škody, které vzniknou jeho činností v důsledku provádění díla objednateli, případně třetím osobám, a je povinen vzniklé škody nahradit nebo odstranit na své náklady.</w:t>
      </w:r>
    </w:p>
    <w:p>
      <w:pPr>
        <w:pStyle w:val="Normal"/>
        <w:tabs>
          <w:tab w:val="clear" w:pos="709"/>
          <w:tab w:val="left" w:pos="0" w:leader="none"/>
        </w:tabs>
        <w:spacing w:before="0" w:after="60"/>
        <w:ind w:left="703" w:hanging="703"/>
        <w:jc w:val="both"/>
        <w:rPr>
          <w:sz w:val="22"/>
          <w:szCs w:val="22"/>
        </w:rPr>
      </w:pPr>
      <w:r>
        <w:rPr>
          <w:b/>
          <w:sz w:val="22"/>
          <w:szCs w:val="22"/>
        </w:rPr>
        <w:t>9.4</w:t>
      </w:r>
      <w:r>
        <w:rPr>
          <w:sz w:val="22"/>
          <w:szCs w:val="22"/>
        </w:rPr>
        <w:tab/>
        <w:t>Smluvní strany se dohodly, že v případě náhrady škody se bude hradit pouze skutečná, prokazatelně vzniklá škoda.</w:t>
      </w:r>
    </w:p>
    <w:p>
      <w:pPr>
        <w:pStyle w:val="Normal"/>
        <w:tabs>
          <w:tab w:val="clear" w:pos="709"/>
          <w:tab w:val="left" w:pos="0" w:leader="none"/>
        </w:tabs>
        <w:ind w:left="705" w:hanging="705"/>
        <w:jc w:val="both"/>
        <w:rPr>
          <w:sz w:val="22"/>
          <w:szCs w:val="22"/>
        </w:rPr>
      </w:pPr>
      <w:r>
        <w:rPr>
          <w:b/>
          <w:sz w:val="22"/>
          <w:szCs w:val="22"/>
        </w:rPr>
        <w:t>9.5</w:t>
      </w:r>
      <w:r>
        <w:rPr>
          <w:sz w:val="22"/>
          <w:szCs w:val="22"/>
        </w:rPr>
        <w:tab/>
      </w:r>
      <w:r>
        <w:rPr>
          <w:iCs/>
          <w:sz w:val="22"/>
          <w:szCs w:val="22"/>
        </w:rPr>
        <w:t xml:space="preserve">Zhotovitel se zavazuje mít po dobu plnění předmětu smlouvy uzavřeno </w:t>
      </w:r>
      <w:r>
        <w:rPr>
          <w:bCs/>
          <w:iCs/>
          <w:sz w:val="22"/>
          <w:szCs w:val="22"/>
        </w:rPr>
        <w:t>pojištění odpovědnosti</w:t>
      </w:r>
      <w:r>
        <w:rPr>
          <w:iCs/>
          <w:sz w:val="22"/>
          <w:szCs w:val="22"/>
        </w:rPr>
        <w:t xml:space="preserve"> za škodu způsobenou třetí osobě s minimálním pojistným plněním ve výši 2 000 000,- Kč.  Pojistnou smlouvu nebo pojistný certifikát je zhotovitel povinen předložit objednateli nejpozději do 14 dnů po podpisu této smlouvy poslední smluvní stranou.</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t>Článek 10</w:t>
      </w:r>
    </w:p>
    <w:p>
      <w:pPr>
        <w:pStyle w:val="Normal"/>
        <w:jc w:val="center"/>
        <w:rPr>
          <w:b/>
          <w:b/>
          <w:sz w:val="22"/>
          <w:szCs w:val="22"/>
        </w:rPr>
      </w:pPr>
      <w:r>
        <w:rPr>
          <w:b/>
          <w:sz w:val="22"/>
          <w:szCs w:val="22"/>
        </w:rPr>
        <w:t>Ochrana důvěrných informaci</w:t>
      </w:r>
    </w:p>
    <w:p>
      <w:pPr>
        <w:pStyle w:val="Normal"/>
        <w:jc w:val="center"/>
        <w:rPr>
          <w:b/>
          <w:b/>
          <w:sz w:val="22"/>
          <w:szCs w:val="22"/>
        </w:rPr>
      </w:pPr>
      <w:r>
        <w:rPr>
          <w:b/>
          <w:sz w:val="22"/>
          <w:szCs w:val="22"/>
        </w:rPr>
      </w:r>
    </w:p>
    <w:p>
      <w:pPr>
        <w:pStyle w:val="Normal"/>
        <w:spacing w:before="0" w:after="60"/>
        <w:ind w:left="703" w:hanging="703"/>
        <w:jc w:val="both"/>
        <w:rPr>
          <w:sz w:val="22"/>
          <w:szCs w:val="22"/>
        </w:rPr>
      </w:pPr>
      <w:r>
        <w:rPr>
          <w:b/>
          <w:sz w:val="22"/>
          <w:szCs w:val="22"/>
        </w:rPr>
        <w:t>10.1</w:t>
      </w:r>
      <w:r>
        <w:rPr>
          <w:sz w:val="22"/>
          <w:szCs w:val="22"/>
        </w:rPr>
        <w:tab/>
        <w:t>Zhotovitel je povinen při provádění díla dle této smlouvy zabezpečit ochranu utajovaných informací ve smyslu zákona č. 412/2005 Sb., o ochraně utajovaných informací a o bezpečnostní způsobilosti, v platném znění.</w:t>
      </w:r>
    </w:p>
    <w:p>
      <w:pPr>
        <w:pStyle w:val="Normal"/>
        <w:spacing w:before="0" w:after="60"/>
        <w:ind w:left="703" w:hanging="703"/>
        <w:jc w:val="both"/>
        <w:rPr>
          <w:sz w:val="22"/>
          <w:szCs w:val="22"/>
        </w:rPr>
      </w:pPr>
      <w:r>
        <w:rPr>
          <w:b/>
          <w:sz w:val="22"/>
          <w:szCs w:val="22"/>
        </w:rPr>
        <w:t>10.2</w:t>
        <w:tab/>
      </w:r>
      <w:r>
        <w:rPr>
          <w:sz w:val="22"/>
          <w:szCs w:val="22"/>
        </w:rPr>
        <w:t>Zhotovitel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pPr>
        <w:pStyle w:val="Normal"/>
        <w:spacing w:before="0" w:after="60"/>
        <w:ind w:left="703" w:hanging="703"/>
        <w:jc w:val="both"/>
        <w:rPr>
          <w:sz w:val="22"/>
          <w:szCs w:val="22"/>
        </w:rPr>
      </w:pPr>
      <w:r>
        <w:rPr>
          <w:b/>
          <w:sz w:val="22"/>
          <w:szCs w:val="22"/>
        </w:rPr>
        <w:t>10.3</w:t>
        <w:tab/>
      </w:r>
      <w:r>
        <w:rPr>
          <w:sz w:val="22"/>
          <w:szCs w:val="22"/>
        </w:rPr>
        <w:t>Zhotovitel je odpovědný i za zcizení nebo zpřístupnění informací třetí straně nebo osobám, které nejsou zainteresovány na výkonu předmětu činnosti této smlouvy z nedbalosti.</w:t>
      </w:r>
    </w:p>
    <w:p>
      <w:pPr>
        <w:pStyle w:val="Normal"/>
        <w:spacing w:before="0" w:after="60"/>
        <w:ind w:left="703" w:hanging="703"/>
        <w:jc w:val="both"/>
        <w:rPr>
          <w:sz w:val="22"/>
          <w:szCs w:val="22"/>
        </w:rPr>
      </w:pPr>
      <w:r>
        <w:rPr>
          <w:b/>
          <w:sz w:val="22"/>
          <w:szCs w:val="22"/>
        </w:rPr>
        <w:t>10.4</w:t>
        <w:tab/>
      </w:r>
      <w:r>
        <w:rPr>
          <w:sz w:val="22"/>
          <w:szCs w:val="22"/>
        </w:rPr>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pPr>
        <w:pStyle w:val="Normal"/>
        <w:jc w:val="both"/>
        <w:rPr>
          <w:b/>
          <w:b/>
          <w:sz w:val="22"/>
          <w:szCs w:val="22"/>
        </w:rPr>
      </w:pPr>
      <w:r>
        <w:rPr>
          <w:b/>
          <w:sz w:val="22"/>
          <w:szCs w:val="22"/>
        </w:rPr>
        <w:t>10.5</w:t>
        <w:tab/>
      </w:r>
      <w:r>
        <w:rPr>
          <w:sz w:val="22"/>
          <w:szCs w:val="22"/>
        </w:rPr>
        <w:t>Za neveřejné informace se považují veškeré následující informace:</w:t>
      </w:r>
    </w:p>
    <w:p>
      <w:pPr>
        <w:pStyle w:val="ListParagraph"/>
        <w:numPr>
          <w:ilvl w:val="0"/>
          <w:numId w:val="7"/>
        </w:numPr>
        <w:spacing w:before="0" w:after="120"/>
        <w:contextualSpacing/>
        <w:jc w:val="both"/>
        <w:rPr>
          <w:rFonts w:ascii="Times New Roman" w:hAnsi="Times New Roman" w:cs="Times New Roman"/>
          <w:bCs/>
          <w:szCs w:val="22"/>
        </w:rPr>
      </w:pPr>
      <w:r>
        <w:rPr>
          <w:rFonts w:cs="Times New Roman" w:ascii="Times New Roman" w:hAnsi="Times New Roman"/>
          <w:bCs/>
          <w:szCs w:val="22"/>
        </w:rPr>
        <w:t>veškeré informace poskytnuté objednatelem zhotoviteli v souvislosti s touto smlouvou;</w:t>
      </w:r>
    </w:p>
    <w:p>
      <w:pPr>
        <w:pStyle w:val="ListParagraph"/>
        <w:numPr>
          <w:ilvl w:val="0"/>
          <w:numId w:val="7"/>
        </w:numPr>
        <w:spacing w:before="0" w:after="120"/>
        <w:contextualSpacing/>
        <w:jc w:val="both"/>
        <w:rPr>
          <w:rFonts w:ascii="Times New Roman" w:hAnsi="Times New Roman" w:cs="Times New Roman"/>
          <w:bCs/>
          <w:szCs w:val="22"/>
        </w:rPr>
      </w:pPr>
      <w:r>
        <w:rPr>
          <w:rFonts w:cs="Times New Roman" w:ascii="Times New Roman" w:hAnsi="Times New Roman"/>
          <w:bCs/>
          <w:szCs w:val="22"/>
        </w:rPr>
        <w:t>informace, na které se vztahuje zákonem uložená povinnost mlčenlivosti objednatele;</w:t>
      </w:r>
    </w:p>
    <w:p>
      <w:pPr>
        <w:pStyle w:val="ListParagraph"/>
        <w:numPr>
          <w:ilvl w:val="0"/>
          <w:numId w:val="7"/>
        </w:numPr>
        <w:spacing w:before="0" w:after="120"/>
        <w:contextualSpacing/>
        <w:jc w:val="both"/>
        <w:rPr>
          <w:rFonts w:ascii="Times New Roman" w:hAnsi="Times New Roman" w:cs="Times New Roman"/>
          <w:bCs/>
          <w:szCs w:val="22"/>
        </w:rPr>
      </w:pPr>
      <w:r>
        <w:rPr>
          <w:rFonts w:cs="Times New Roman" w:ascii="Times New Roman" w:hAnsi="Times New Roman"/>
          <w:bCs/>
          <w:szCs w:val="22"/>
        </w:rPr>
        <w:t>veškeré další informace, které budou objednatelem či zhotovitelem označeny jako neveřejné ve smyslu ustanovení § 218 zákona č. 134/2016 Sb., ZZVZ.</w:t>
      </w:r>
    </w:p>
    <w:p>
      <w:pPr>
        <w:pStyle w:val="Normal"/>
        <w:spacing w:before="0" w:after="120"/>
        <w:ind w:left="1418" w:hanging="709"/>
        <w:jc w:val="both"/>
        <w:rPr>
          <w:bCs/>
          <w:sz w:val="22"/>
          <w:szCs w:val="22"/>
        </w:rPr>
      </w:pPr>
      <w:r>
        <w:rPr>
          <w:bCs/>
          <w:sz w:val="22"/>
          <w:szCs w:val="22"/>
        </w:rPr>
        <w:t>Povinnost zachovávat mlčenlivost uvedenou v tomto čl. 10 se nevztahuje na informace:</w:t>
      </w:r>
    </w:p>
    <w:p>
      <w:pPr>
        <w:pStyle w:val="ListParagraph"/>
        <w:numPr>
          <w:ilvl w:val="0"/>
          <w:numId w:val="8"/>
        </w:numPr>
        <w:spacing w:before="0" w:after="120"/>
        <w:contextualSpacing/>
        <w:jc w:val="both"/>
        <w:rPr>
          <w:rFonts w:ascii="Times New Roman" w:hAnsi="Times New Roman" w:cs="Times New Roman"/>
          <w:bCs/>
          <w:szCs w:val="22"/>
        </w:rPr>
      </w:pPr>
      <w:r>
        <w:rPr>
          <w:rFonts w:cs="Times New Roman" w:ascii="Times New Roman" w:hAnsi="Times New Roman"/>
          <w:bCs/>
          <w:szCs w:val="22"/>
        </w:rPr>
        <w:t>které jsou nebo se stanou všeobecně a veřejně přístupnými jinak, než porušením právních povinností ze strany zhotovitele</w:t>
      </w:r>
      <w:r>
        <w:rPr>
          <w:rFonts w:cs="Times New Roman" w:ascii="Times New Roman" w:hAnsi="Times New Roman"/>
          <w:szCs w:val="22"/>
        </w:rPr>
        <w:t>;</w:t>
      </w:r>
    </w:p>
    <w:p>
      <w:pPr>
        <w:pStyle w:val="ListParagraph"/>
        <w:numPr>
          <w:ilvl w:val="0"/>
          <w:numId w:val="8"/>
        </w:numPr>
        <w:spacing w:before="0" w:after="120"/>
        <w:contextualSpacing/>
        <w:jc w:val="both"/>
        <w:rPr>
          <w:rFonts w:ascii="Times New Roman" w:hAnsi="Times New Roman" w:cs="Times New Roman"/>
          <w:bCs/>
          <w:szCs w:val="22"/>
        </w:rPr>
      </w:pPr>
      <w:r>
        <w:rPr>
          <w:rFonts w:cs="Times New Roman" w:ascii="Times New Roman" w:hAnsi="Times New Roman"/>
          <w:bCs/>
          <w:szCs w:val="22"/>
        </w:rPr>
        <w:t>u nichž je zhotovitel schopen prokázat, že mu byly známy a byly mu volně k dispozici ještě před přijetím těchto informací od objednatele</w:t>
      </w:r>
      <w:r>
        <w:rPr>
          <w:rFonts w:cs="Times New Roman" w:ascii="Times New Roman" w:hAnsi="Times New Roman"/>
          <w:szCs w:val="22"/>
        </w:rPr>
        <w:t>;</w:t>
      </w:r>
    </w:p>
    <w:p>
      <w:pPr>
        <w:pStyle w:val="ListParagraph"/>
        <w:numPr>
          <w:ilvl w:val="0"/>
          <w:numId w:val="8"/>
        </w:numPr>
        <w:spacing w:before="0" w:after="120"/>
        <w:contextualSpacing/>
        <w:jc w:val="both"/>
        <w:rPr>
          <w:rFonts w:ascii="Times New Roman" w:hAnsi="Times New Roman" w:cs="Times New Roman"/>
          <w:bCs/>
          <w:szCs w:val="22"/>
        </w:rPr>
      </w:pPr>
      <w:r>
        <w:rPr>
          <w:rFonts w:cs="Times New Roman" w:ascii="Times New Roman" w:hAnsi="Times New Roman"/>
          <w:bCs/>
          <w:szCs w:val="22"/>
        </w:rPr>
        <w:t>které budou zhotoviteli po uzavření této smlouvy sděleny bez povinnosti mlčenlivosti třetí stranou, jež rovněž není ve vztahu k nim nijak vázána</w:t>
      </w:r>
      <w:r>
        <w:rPr>
          <w:rFonts w:cs="Times New Roman" w:ascii="Times New Roman" w:hAnsi="Times New Roman"/>
          <w:szCs w:val="22"/>
        </w:rPr>
        <w:t>;</w:t>
      </w:r>
      <w:r>
        <w:rPr>
          <w:rFonts w:cs="Times New Roman" w:ascii="Times New Roman" w:hAnsi="Times New Roman"/>
          <w:bCs/>
          <w:szCs w:val="22"/>
        </w:rPr>
        <w:t xml:space="preserve"> </w:t>
      </w:r>
    </w:p>
    <w:p>
      <w:pPr>
        <w:pStyle w:val="ListParagraph"/>
        <w:numPr>
          <w:ilvl w:val="0"/>
          <w:numId w:val="8"/>
        </w:numPr>
        <w:spacing w:before="0" w:after="120"/>
        <w:ind w:left="1429" w:hanging="357"/>
        <w:contextualSpacing/>
        <w:jc w:val="both"/>
        <w:rPr>
          <w:rFonts w:ascii="Times New Roman" w:hAnsi="Times New Roman" w:cs="Times New Roman"/>
          <w:bCs/>
          <w:szCs w:val="22"/>
        </w:rPr>
      </w:pPr>
      <w:r>
        <w:rPr>
          <w:rFonts w:cs="Times New Roman" w:ascii="Times New Roman" w:hAnsi="Times New Roman"/>
          <w:bCs/>
          <w:szCs w:val="22"/>
        </w:rPr>
        <w:t>jejichž sdělení se vyžaduje ze zákona.</w:t>
      </w:r>
    </w:p>
    <w:p>
      <w:pPr>
        <w:pStyle w:val="ListParagraph"/>
        <w:spacing w:before="0" w:after="60"/>
        <w:ind w:left="709" w:hanging="0"/>
        <w:contextualSpacing/>
        <w:jc w:val="both"/>
        <w:rPr>
          <w:rFonts w:ascii="Times New Roman" w:hAnsi="Times New Roman" w:cs="Times New Roman"/>
          <w:bCs/>
          <w:szCs w:val="22"/>
        </w:rPr>
      </w:pPr>
      <w:r>
        <w:rPr>
          <w:rFonts w:cs="Times New Roman" w:ascii="Times New Roman" w:hAnsi="Times New Roman"/>
          <w:bCs/>
          <w:szCs w:val="22"/>
        </w:rPr>
        <w:t>Zhotovitel je povinen neveřejné informace užít pouze za účelem plnění této smlouvy. Jiná použití nejsou bez písemného svolení objednatele přípustná.</w:t>
      </w:r>
    </w:p>
    <w:p>
      <w:pPr>
        <w:pStyle w:val="Normal"/>
        <w:tabs>
          <w:tab w:val="left" w:pos="709" w:leader="none"/>
        </w:tabs>
        <w:spacing w:before="0" w:after="60"/>
        <w:ind w:left="703" w:hanging="703"/>
        <w:jc w:val="both"/>
        <w:rPr>
          <w:bCs/>
          <w:sz w:val="22"/>
          <w:szCs w:val="22"/>
        </w:rPr>
      </w:pPr>
      <w:r>
        <w:rPr>
          <w:b/>
          <w:bCs/>
          <w:sz w:val="22"/>
          <w:szCs w:val="22"/>
        </w:rPr>
        <w:t>10.6</w:t>
      </w:r>
      <w:r>
        <w:rPr>
          <w:bCs/>
          <w:sz w:val="22"/>
          <w:szCs w:val="22"/>
        </w:rPr>
        <w:tab/>
        <w:t>Za prokázané porušení povinností souvisejících s ochranou důvěrných informací dle smlouvy má druhá smluvní strana právo požadovat náhradu takto vzniklé škody.</w:t>
      </w:r>
    </w:p>
    <w:p>
      <w:pPr>
        <w:pStyle w:val="Normal"/>
        <w:spacing w:before="0" w:after="60"/>
        <w:ind w:left="703" w:hanging="703"/>
        <w:jc w:val="both"/>
        <w:rPr>
          <w:bCs/>
          <w:sz w:val="22"/>
          <w:szCs w:val="22"/>
        </w:rPr>
      </w:pPr>
      <w:r>
        <w:rPr>
          <w:b/>
          <w:bCs/>
          <w:sz w:val="22"/>
          <w:szCs w:val="22"/>
        </w:rPr>
        <w:t>10.7</w:t>
      </w:r>
      <w:r>
        <w:rPr>
          <w:bCs/>
          <w:sz w:val="22"/>
          <w:szCs w:val="22"/>
        </w:rPr>
        <w:tab/>
        <w:t>Zhotovitel je povinen dodržovat zákon č. 110/2019 Sb., o zpracování osobních údajů, v platném znění. Za neveřejné informace se považují vždy veškeré osobní údaje podle zákona č. 110/2019 Sb., o zpracování osobních údajů, v platném znění. Shromažďovat a zpracovávat osobní údaje zaměstnanců a jiných osob, event. citlivé osobní údaje lze jen v případech stanovených zákonem nebo se souhlasem nositele osobních práv.</w:t>
      </w:r>
    </w:p>
    <w:p>
      <w:pPr>
        <w:pStyle w:val="Normal"/>
        <w:spacing w:before="0" w:after="60"/>
        <w:ind w:left="703" w:hanging="703"/>
        <w:jc w:val="both"/>
        <w:rPr>
          <w:bCs/>
          <w:sz w:val="22"/>
          <w:szCs w:val="22"/>
        </w:rPr>
      </w:pPr>
      <w:r>
        <w:rPr>
          <w:b/>
          <w:bCs/>
          <w:sz w:val="22"/>
          <w:szCs w:val="22"/>
        </w:rPr>
        <w:t>10.8</w:t>
      </w:r>
      <w:r>
        <w:rPr>
          <w:bCs/>
          <w:sz w:val="22"/>
          <w:szCs w:val="22"/>
        </w:rPr>
        <w:tab/>
        <w:t>Zhotovitel seznámí se zněním smlouvy všechny své zaměstnance, kteří získají nebo mohou získat přístup k informacím objednatele.</w:t>
      </w:r>
    </w:p>
    <w:p>
      <w:pPr>
        <w:pStyle w:val="Normal"/>
        <w:spacing w:before="0" w:after="120"/>
        <w:ind w:left="705" w:hanging="705"/>
        <w:jc w:val="both"/>
        <w:rPr>
          <w:bCs/>
          <w:sz w:val="22"/>
          <w:szCs w:val="22"/>
        </w:rPr>
      </w:pPr>
      <w:r>
        <w:rPr>
          <w:b/>
          <w:bCs/>
          <w:sz w:val="22"/>
          <w:szCs w:val="22"/>
        </w:rPr>
        <w:t>10.9</w:t>
      </w:r>
      <w:r>
        <w:rPr>
          <w:bCs/>
          <w:sz w:val="22"/>
          <w:szCs w:val="22"/>
        </w:rPr>
        <w:tab/>
        <w:t>Objednatel má právo provést kontrolu znalosti textu uvedeného v tomto bodě a rovněž má právo odmítnout přístup k informacím a informačním zařízením zaměstnancům zhotovitele, kteří neprokáží potřebné znalosti nebo jejichž chování bude v rozporu s předmětem této smlouvy nebo obecně závazných právních předpisů, aniž by to zhotovitelem bylo považováno za porušení potřebné součinnosti ze strany objednatele.</w:t>
      </w:r>
    </w:p>
    <w:p>
      <w:pPr>
        <w:pStyle w:val="Normal"/>
        <w:jc w:val="both"/>
        <w:rPr>
          <w:sz w:val="22"/>
          <w:szCs w:val="22"/>
        </w:rPr>
      </w:pPr>
      <w:r>
        <w:rPr>
          <w:sz w:val="22"/>
          <w:szCs w:val="22"/>
        </w:rPr>
      </w:r>
    </w:p>
    <w:p>
      <w:pPr>
        <w:pStyle w:val="Normal"/>
        <w:jc w:val="center"/>
        <w:rPr>
          <w:b/>
          <w:b/>
          <w:bCs/>
          <w:sz w:val="22"/>
          <w:szCs w:val="22"/>
        </w:rPr>
      </w:pPr>
      <w:r>
        <w:rPr>
          <w:b/>
          <w:bCs/>
          <w:sz w:val="22"/>
          <w:szCs w:val="22"/>
        </w:rPr>
        <w:t>Článek 11</w:t>
      </w:r>
    </w:p>
    <w:p>
      <w:pPr>
        <w:pStyle w:val="Normal"/>
        <w:jc w:val="center"/>
        <w:rPr>
          <w:b/>
          <w:b/>
          <w:bCs/>
          <w:sz w:val="22"/>
          <w:szCs w:val="22"/>
        </w:rPr>
      </w:pPr>
      <w:r>
        <w:rPr>
          <w:b/>
          <w:bCs/>
          <w:sz w:val="22"/>
          <w:szCs w:val="22"/>
        </w:rPr>
        <w:t>Smluvní pokuty</w:t>
      </w:r>
    </w:p>
    <w:p>
      <w:pPr>
        <w:pStyle w:val="Normal"/>
        <w:jc w:val="center"/>
        <w:rPr>
          <w:b/>
          <w:b/>
          <w:bCs/>
          <w:sz w:val="22"/>
          <w:szCs w:val="22"/>
        </w:rPr>
      </w:pPr>
      <w:r>
        <w:rPr>
          <w:b/>
          <w:bCs/>
          <w:sz w:val="22"/>
          <w:szCs w:val="22"/>
        </w:rPr>
      </w:r>
    </w:p>
    <w:p>
      <w:pPr>
        <w:pStyle w:val="Normal"/>
        <w:tabs>
          <w:tab w:val="clear" w:pos="709"/>
          <w:tab w:val="left" w:pos="0" w:leader="none"/>
        </w:tabs>
        <w:spacing w:before="0" w:after="60"/>
        <w:ind w:left="703" w:hanging="703"/>
        <w:jc w:val="both"/>
        <w:rPr>
          <w:sz w:val="22"/>
          <w:szCs w:val="22"/>
        </w:rPr>
      </w:pPr>
      <w:r>
        <w:rPr>
          <w:b/>
          <w:sz w:val="22"/>
          <w:szCs w:val="22"/>
        </w:rPr>
        <w:t>11.1</w:t>
      </w:r>
      <w:r>
        <w:rPr>
          <w:sz w:val="22"/>
          <w:szCs w:val="22"/>
        </w:rPr>
        <w:t xml:space="preserve"> </w:t>
        <w:tab/>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p>
    <w:p>
      <w:pPr>
        <w:pStyle w:val="Normal"/>
        <w:tabs>
          <w:tab w:val="clear" w:pos="709"/>
          <w:tab w:val="left" w:pos="0" w:leader="none"/>
        </w:tabs>
        <w:spacing w:before="0" w:after="60"/>
        <w:ind w:left="703" w:hanging="703"/>
        <w:jc w:val="both"/>
        <w:rPr>
          <w:sz w:val="22"/>
          <w:szCs w:val="22"/>
        </w:rPr>
      </w:pPr>
      <w:r>
        <w:rPr>
          <w:b/>
          <w:sz w:val="22"/>
          <w:szCs w:val="22"/>
        </w:rPr>
        <w:t>11.2</w:t>
      </w:r>
      <w:r>
        <w:rPr>
          <w:sz w:val="22"/>
          <w:szCs w:val="22"/>
        </w:rPr>
        <w:tab/>
        <w:t>Bude-li zhotovitel v prodlení s předáním jakékoliv části řádně dokončeného díla dle čl. 3 této smlouvy, je objednatel oprávněn požadovat po zhotoviteli za každý den prodlení smluvní pokutu ve výši 0,5 % z celkové sjednané ceny díla bez DPH, a to za každý i započatý den prodlení. Smluvní strany si ujednávají možnost uplatnění této smluvní pokuty zápočtem proti ceně díla fakturované zhotovitelem. O tomto postupu objednatel zhotovitele informuje při proplacení faktury.</w:t>
      </w:r>
    </w:p>
    <w:p>
      <w:pPr>
        <w:pStyle w:val="Normal"/>
        <w:tabs>
          <w:tab w:val="clear" w:pos="709"/>
          <w:tab w:val="left" w:pos="0" w:leader="none"/>
        </w:tabs>
        <w:spacing w:before="0" w:after="60"/>
        <w:ind w:left="703" w:hanging="703"/>
        <w:jc w:val="both"/>
        <w:rPr>
          <w:b/>
          <w:b/>
          <w:sz w:val="22"/>
          <w:szCs w:val="22"/>
        </w:rPr>
      </w:pPr>
      <w:r>
        <w:rPr>
          <w:b/>
          <w:sz w:val="22"/>
          <w:szCs w:val="22"/>
        </w:rPr>
        <w:t>11</w:t>
      </w:r>
      <w:r>
        <w:rPr>
          <w:sz w:val="22"/>
          <w:szCs w:val="22"/>
        </w:rPr>
        <w:t>.</w:t>
      </w:r>
      <w:r>
        <w:rPr>
          <w:b/>
          <w:sz w:val="22"/>
          <w:szCs w:val="22"/>
        </w:rPr>
        <w:t>3</w:t>
      </w:r>
      <w:r>
        <w:rPr>
          <w:sz w:val="22"/>
          <w:szCs w:val="22"/>
        </w:rPr>
        <w:tab/>
        <w:t>V případě, že zhotovitel bude v prodlení s odstraňováním vad podle čl. 8 smlouvy, je objednatel oprávněn požadovat po zhotoviteli smluvní pokutu ve výši 1 000,- Kč (slovy: jeden tisíc korun českých), a to za každý i započatý den prodlení a za každou vadu zvlášť.</w:t>
      </w:r>
    </w:p>
    <w:p>
      <w:pPr>
        <w:pStyle w:val="Normal"/>
        <w:tabs>
          <w:tab w:val="clear" w:pos="709"/>
          <w:tab w:val="left" w:pos="0" w:leader="none"/>
        </w:tabs>
        <w:spacing w:before="0" w:after="60"/>
        <w:ind w:left="703" w:hanging="703"/>
        <w:jc w:val="both"/>
        <w:rPr>
          <w:sz w:val="22"/>
          <w:szCs w:val="22"/>
        </w:rPr>
      </w:pPr>
      <w:r>
        <w:rPr>
          <w:b/>
          <w:sz w:val="22"/>
          <w:szCs w:val="22"/>
        </w:rPr>
        <w:t>11.4</w:t>
      </w:r>
      <w:r>
        <w:rPr>
          <w:sz w:val="22"/>
          <w:szCs w:val="22"/>
        </w:rPr>
        <w:tab/>
        <w:t>V případě prodlení objednatele s platbou ceny za dílo bude objednatel povinen uhradit zhotoviteli úrok z prodlení ve výši 0,05 % z dlužné částky za každý započatý den prodlení.</w:t>
      </w:r>
    </w:p>
    <w:p>
      <w:pPr>
        <w:pStyle w:val="Normal"/>
        <w:tabs>
          <w:tab w:val="clear" w:pos="709"/>
          <w:tab w:val="left" w:pos="0" w:leader="none"/>
        </w:tabs>
        <w:spacing w:before="0" w:after="60"/>
        <w:ind w:left="703" w:hanging="703"/>
        <w:jc w:val="both"/>
        <w:rPr>
          <w:sz w:val="22"/>
          <w:szCs w:val="22"/>
        </w:rPr>
      </w:pPr>
      <w:r>
        <w:rPr>
          <w:b/>
          <w:sz w:val="22"/>
          <w:szCs w:val="22"/>
        </w:rPr>
        <w:t>11.5</w:t>
      </w:r>
      <w:r>
        <w:rPr>
          <w:sz w:val="22"/>
          <w:szCs w:val="22"/>
        </w:rPr>
        <w:tab/>
        <w:t>V případě, že</w:t>
      </w:r>
      <w:r>
        <w:rPr>
          <w:b/>
          <w:sz w:val="22"/>
          <w:szCs w:val="22"/>
        </w:rPr>
        <w:t xml:space="preserve"> </w:t>
      </w:r>
      <w:r>
        <w:rPr>
          <w:sz w:val="22"/>
          <w:szCs w:val="22"/>
        </w:rPr>
        <w:t>zhotovitel v rozporu s čl. 6.13 smlouvy provede předem neodsouhlasenou změnu poddodavatele, jehož prostřednictvím zhotovitel prokázal v rámci zadávacího řízení na realizaci díla kvalifikační předpoklady, nebo některou z odborných prací bude vykonávat pracovník zhotovitele nebo jeho poddodavatele bez příslušné kvalifikace, uhradí zhotovitel objednateli smluvní pokutu ve výši 20 % z celkové ceny díla bez DPH.</w:t>
      </w:r>
    </w:p>
    <w:p>
      <w:pPr>
        <w:pStyle w:val="Normal"/>
        <w:tabs>
          <w:tab w:val="clear" w:pos="709"/>
          <w:tab w:val="left" w:pos="0" w:leader="none"/>
        </w:tabs>
        <w:spacing w:before="0" w:after="60"/>
        <w:ind w:left="703" w:hanging="703"/>
        <w:jc w:val="both"/>
        <w:rPr>
          <w:b/>
          <w:b/>
          <w:sz w:val="22"/>
          <w:szCs w:val="22"/>
        </w:rPr>
      </w:pPr>
      <w:r>
        <w:rPr>
          <w:b/>
          <w:sz w:val="22"/>
          <w:szCs w:val="22"/>
        </w:rPr>
        <w:t>11.6</w:t>
        <w:tab/>
      </w:r>
      <w:r>
        <w:rPr>
          <w:sz w:val="22"/>
          <w:szCs w:val="22"/>
        </w:rPr>
        <w:t>V případě, že zhotovitel bude v prodlení s předložením pojistné smlouvy či pojistného certifikátu o pojištění odpovědnosti za škodu způsobenou třetí osobě dle čl. 9.5 smlouvy, uhradí zhotovitel objednateli smluvní pokutu ve výši 1 000,- Kč (slovy: jeden tisíc korun českých), a to za každý i započatý den prodlení.</w:t>
      </w:r>
    </w:p>
    <w:p>
      <w:pPr>
        <w:pStyle w:val="Normal"/>
        <w:tabs>
          <w:tab w:val="clear" w:pos="709"/>
          <w:tab w:val="left" w:pos="0" w:leader="none"/>
        </w:tabs>
        <w:spacing w:before="0" w:after="60"/>
        <w:ind w:left="703" w:hanging="703"/>
        <w:jc w:val="both"/>
        <w:rPr>
          <w:sz w:val="22"/>
          <w:szCs w:val="22"/>
        </w:rPr>
      </w:pPr>
      <w:r>
        <w:rPr>
          <w:b/>
          <w:sz w:val="22"/>
          <w:szCs w:val="22"/>
        </w:rPr>
        <w:t>11.7</w:t>
      </w:r>
      <w:r>
        <w:rPr>
          <w:sz w:val="22"/>
          <w:szCs w:val="22"/>
        </w:rPr>
        <w:tab/>
        <w:t>V případě, že zhotovitel poruší svou povinnost zachovávat mlčenlivost, nezpřístupnit třetím osobám neveřejné informace nebo podniknout veškeré nezbytné kroky k zabezpečení těchto informací dle této smlouvy  nebo zhotovitel v rozporu s čl. 10.7 této smlouvy poruší zákon č. 110/2019 Sb., o zpracování osobních údajů, v platném znění bude povinen zaplatit objednateli smluvní pokutu ve výši 100.000,- Kč (slovy: jedno sto tisíc korun českých) za každé takové porušení.</w:t>
      </w:r>
    </w:p>
    <w:p>
      <w:pPr>
        <w:pStyle w:val="Normal"/>
        <w:tabs>
          <w:tab w:val="clear" w:pos="709"/>
          <w:tab w:val="left" w:pos="0" w:leader="none"/>
        </w:tabs>
        <w:spacing w:before="0" w:after="60"/>
        <w:ind w:left="703" w:hanging="703"/>
        <w:jc w:val="both"/>
        <w:rPr>
          <w:sz w:val="22"/>
          <w:szCs w:val="22"/>
        </w:rPr>
      </w:pPr>
      <w:r>
        <w:rPr>
          <w:b/>
          <w:sz w:val="22"/>
          <w:szCs w:val="22"/>
        </w:rPr>
        <w:t>11.8</w:t>
      </w:r>
      <w:r>
        <w:rPr>
          <w:sz w:val="22"/>
          <w:szCs w:val="22"/>
        </w:rPr>
        <w:tab/>
        <w:t>Při odstoupení objednatele od smlouvy pro její podstatné porušení zhotovitelem podle čl. 12.3 uplatní objednatel za toto porušení vůči zhotoviteli též smluvní pokutu ve výši 20 % z celkové sjednané ceny díla bez DPH.</w:t>
      </w:r>
    </w:p>
    <w:p>
      <w:pPr>
        <w:pStyle w:val="Normal"/>
        <w:tabs>
          <w:tab w:val="clear" w:pos="709"/>
          <w:tab w:val="left" w:pos="0" w:leader="none"/>
        </w:tabs>
        <w:spacing w:before="0" w:after="60"/>
        <w:ind w:left="703" w:hanging="703"/>
        <w:jc w:val="both"/>
        <w:rPr>
          <w:sz w:val="22"/>
          <w:szCs w:val="22"/>
        </w:rPr>
      </w:pPr>
      <w:r>
        <w:rPr>
          <w:b/>
          <w:sz w:val="22"/>
          <w:szCs w:val="22"/>
        </w:rPr>
        <w:t>11.11</w:t>
      </w:r>
      <w:r>
        <w:rPr>
          <w:sz w:val="22"/>
          <w:szCs w:val="22"/>
        </w:rPr>
        <w:tab/>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pPr>
        <w:pStyle w:val="Normal"/>
        <w:tabs>
          <w:tab w:val="clear" w:pos="709"/>
          <w:tab w:val="left" w:pos="0" w:leader="none"/>
        </w:tabs>
        <w:spacing w:before="0" w:after="60"/>
        <w:ind w:left="703" w:hanging="703"/>
        <w:jc w:val="both"/>
        <w:rPr>
          <w:sz w:val="22"/>
          <w:szCs w:val="22"/>
        </w:rPr>
      </w:pPr>
      <w:r>
        <w:rPr>
          <w:b/>
          <w:sz w:val="22"/>
          <w:szCs w:val="22"/>
        </w:rPr>
        <w:t>11.12</w:t>
      </w:r>
      <w:r>
        <w:rPr>
          <w:sz w:val="22"/>
          <w:szCs w:val="22"/>
        </w:rPr>
        <w:tab/>
        <w:t>Smluvní pokuty stanovené dle tohoto článku jsou splatné do 30 dnů ode dne doručení výzvy oprávněné strany k zaplacení smluvní pokuty povinné smluvní straně.</w:t>
      </w:r>
    </w:p>
    <w:p>
      <w:pPr>
        <w:pStyle w:val="Normal"/>
        <w:tabs>
          <w:tab w:val="clear" w:pos="709"/>
          <w:tab w:val="left" w:pos="0" w:leader="none"/>
        </w:tabs>
        <w:spacing w:before="0" w:after="60"/>
        <w:ind w:left="703" w:hanging="703"/>
        <w:jc w:val="both"/>
        <w:rPr>
          <w:sz w:val="22"/>
          <w:szCs w:val="22"/>
        </w:rPr>
      </w:pPr>
      <w:r>
        <w:rPr>
          <w:b/>
          <w:sz w:val="22"/>
          <w:szCs w:val="22"/>
        </w:rPr>
        <w:t>11.13</w:t>
      </w:r>
      <w:r>
        <w:rPr>
          <w:sz w:val="22"/>
          <w:szCs w:val="22"/>
        </w:rPr>
        <w:tab/>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pPr>
        <w:pStyle w:val="Normal"/>
        <w:tabs>
          <w:tab w:val="clear" w:pos="709"/>
          <w:tab w:val="left" w:pos="0" w:leader="none"/>
        </w:tabs>
        <w:spacing w:before="0" w:after="60"/>
        <w:ind w:left="703" w:hanging="703"/>
        <w:jc w:val="both"/>
        <w:rPr>
          <w:sz w:val="22"/>
          <w:szCs w:val="22"/>
        </w:rPr>
      </w:pPr>
      <w:r>
        <w:rPr>
          <w:b/>
          <w:sz w:val="22"/>
          <w:szCs w:val="22"/>
        </w:rPr>
        <w:t>11.14</w:t>
      </w:r>
      <w:r>
        <w:rPr>
          <w:sz w:val="22"/>
          <w:szCs w:val="22"/>
        </w:rPr>
        <w:tab/>
        <w:t>Zaplacením smluvní pokuty zhotovitelem není dotčen nárok objednatele na náhradu případných škod vzniklých prodlením či vadným plněním zhotovitele.</w:t>
      </w:r>
    </w:p>
    <w:p>
      <w:pPr>
        <w:pStyle w:val="Normal"/>
        <w:tabs>
          <w:tab w:val="clear" w:pos="709"/>
          <w:tab w:val="left" w:pos="0" w:leader="none"/>
        </w:tabs>
        <w:spacing w:before="0" w:after="60"/>
        <w:ind w:left="703" w:hanging="703"/>
        <w:jc w:val="both"/>
        <w:rPr>
          <w:sz w:val="22"/>
          <w:szCs w:val="22"/>
        </w:rPr>
      </w:pPr>
      <w:r>
        <w:rPr>
          <w:b/>
          <w:sz w:val="22"/>
          <w:szCs w:val="22"/>
        </w:rPr>
        <w:t>11.15</w:t>
      </w:r>
      <w:r>
        <w:rPr>
          <w:sz w:val="22"/>
          <w:szCs w:val="22"/>
        </w:rPr>
        <w:tab/>
        <w:t>Pokud není v ostatních ustanovením smlouvy uvedeno jinak, zaplacení smluvní pokuty zhotovitelem objednateli nezbavuje zhotovitele závazku splnit povinnosti dané mu touto smlouvou.</w:t>
      </w:r>
    </w:p>
    <w:p>
      <w:pPr>
        <w:pStyle w:val="Normal"/>
        <w:tabs>
          <w:tab w:val="clear" w:pos="709"/>
          <w:tab w:val="left" w:pos="0" w:leader="none"/>
        </w:tabs>
        <w:spacing w:before="0" w:after="60"/>
        <w:ind w:left="703" w:hanging="703"/>
        <w:jc w:val="both"/>
        <w:rPr>
          <w:sz w:val="22"/>
          <w:szCs w:val="22"/>
        </w:rPr>
      </w:pPr>
      <w:r>
        <w:rPr>
          <w:b/>
          <w:sz w:val="22"/>
          <w:szCs w:val="22"/>
        </w:rPr>
        <w:t>11.16</w:t>
      </w:r>
      <w:r>
        <w:rPr>
          <w:sz w:val="22"/>
          <w:szCs w:val="22"/>
        </w:rPr>
        <w:tab/>
        <w:t>Oprávněnost nároku na smluvní pokutu není podmíněna žádnými formálními úkony ze strany objednatele.</w:t>
      </w:r>
    </w:p>
    <w:p>
      <w:pPr>
        <w:pStyle w:val="Normal"/>
        <w:tabs>
          <w:tab w:val="clear" w:pos="709"/>
          <w:tab w:val="left" w:pos="0" w:leader="none"/>
        </w:tabs>
        <w:spacing w:before="0" w:after="60"/>
        <w:ind w:left="703" w:hanging="703"/>
        <w:jc w:val="both"/>
        <w:rPr>
          <w:sz w:val="22"/>
          <w:szCs w:val="22"/>
        </w:rPr>
      </w:pPr>
      <w:r>
        <w:rPr>
          <w:b/>
          <w:sz w:val="22"/>
          <w:szCs w:val="22"/>
        </w:rPr>
        <w:t>11.17</w:t>
      </w:r>
      <w:r>
        <w:rPr>
          <w:sz w:val="22"/>
          <w:szCs w:val="22"/>
        </w:rPr>
        <w:tab/>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pPr>
        <w:pStyle w:val="Normal"/>
        <w:tabs>
          <w:tab w:val="clear" w:pos="709"/>
          <w:tab w:val="left" w:pos="0" w:leader="none"/>
        </w:tabs>
        <w:ind w:left="705" w:hanging="705"/>
        <w:jc w:val="both"/>
        <w:rPr>
          <w:sz w:val="22"/>
          <w:szCs w:val="22"/>
        </w:rPr>
      </w:pPr>
      <w:r>
        <w:rPr>
          <w:sz w:val="22"/>
          <w:szCs w:val="22"/>
        </w:rPr>
      </w:r>
    </w:p>
    <w:p>
      <w:pPr>
        <w:pStyle w:val="Normal"/>
        <w:jc w:val="center"/>
        <w:rPr>
          <w:b/>
          <w:b/>
          <w:bCs/>
          <w:sz w:val="22"/>
          <w:szCs w:val="22"/>
        </w:rPr>
      </w:pPr>
      <w:r>
        <w:rPr>
          <w:b/>
          <w:bCs/>
          <w:sz w:val="22"/>
          <w:szCs w:val="22"/>
        </w:rPr>
        <w:t>Článek 12</w:t>
      </w:r>
    </w:p>
    <w:p>
      <w:pPr>
        <w:pStyle w:val="Normal"/>
        <w:jc w:val="center"/>
        <w:rPr>
          <w:b/>
          <w:b/>
          <w:sz w:val="22"/>
          <w:szCs w:val="22"/>
        </w:rPr>
      </w:pPr>
      <w:r>
        <w:rPr>
          <w:b/>
          <w:sz w:val="22"/>
          <w:szCs w:val="22"/>
        </w:rPr>
        <w:t>Zánik závazků</w:t>
      </w:r>
    </w:p>
    <w:p>
      <w:pPr>
        <w:pStyle w:val="Normal"/>
        <w:jc w:val="center"/>
        <w:rPr>
          <w:b/>
          <w:b/>
          <w:sz w:val="22"/>
          <w:szCs w:val="22"/>
        </w:rPr>
      </w:pPr>
      <w:r>
        <w:rPr>
          <w:b/>
          <w:sz w:val="22"/>
          <w:szCs w:val="22"/>
        </w:rPr>
      </w:r>
    </w:p>
    <w:p>
      <w:pPr>
        <w:pStyle w:val="Odsazentlatextu"/>
        <w:spacing w:before="0" w:after="60"/>
        <w:ind w:left="0" w:hanging="0"/>
        <w:jc w:val="both"/>
        <w:rPr>
          <w:sz w:val="22"/>
          <w:szCs w:val="22"/>
        </w:rPr>
      </w:pPr>
      <w:r>
        <w:rPr>
          <w:b/>
          <w:sz w:val="22"/>
          <w:szCs w:val="22"/>
        </w:rPr>
        <w:t>12.1</w:t>
      </w:r>
      <w:r>
        <w:rPr>
          <w:sz w:val="22"/>
          <w:szCs w:val="22"/>
        </w:rPr>
        <w:tab/>
        <w:t>Smluvní strany se dohodly, že závazek ze smluvního vztahu zaniká v těchto případech:</w:t>
      </w:r>
    </w:p>
    <w:p>
      <w:pPr>
        <w:pStyle w:val="ListParagraph"/>
        <w:numPr>
          <w:ilvl w:val="0"/>
          <w:numId w:val="10"/>
        </w:numPr>
        <w:spacing w:before="0" w:after="60"/>
        <w:contextualSpacing/>
        <w:jc w:val="both"/>
        <w:rPr>
          <w:rFonts w:ascii="Times New Roman" w:hAnsi="Times New Roman" w:cs="Times New Roman"/>
          <w:szCs w:val="22"/>
        </w:rPr>
      </w:pPr>
      <w:r>
        <w:rPr>
          <w:rFonts w:cs="Times New Roman" w:ascii="Times New Roman" w:hAnsi="Times New Roman"/>
          <w:szCs w:val="22"/>
        </w:rPr>
        <w:t>splněním všech závazků řádně a včas;</w:t>
      </w:r>
    </w:p>
    <w:p>
      <w:pPr>
        <w:pStyle w:val="ListParagraph"/>
        <w:numPr>
          <w:ilvl w:val="0"/>
          <w:numId w:val="9"/>
        </w:numPr>
        <w:spacing w:before="0" w:after="60"/>
        <w:contextualSpacing/>
        <w:jc w:val="both"/>
        <w:rPr>
          <w:rFonts w:ascii="Times New Roman" w:hAnsi="Times New Roman" w:cs="Times New Roman"/>
          <w:szCs w:val="22"/>
        </w:rPr>
      </w:pPr>
      <w:r>
        <w:rPr>
          <w:rFonts w:cs="Times New Roman" w:ascii="Times New Roman" w:hAnsi="Times New Roman"/>
          <w:szCs w:val="22"/>
        </w:rPr>
        <w:t>dohodou smluvních stran při vzájemném vyrovnání účelně vynaložených a prokazatelně doložených nákladů ke dni zániku smlouvy;</w:t>
      </w:r>
    </w:p>
    <w:p>
      <w:pPr>
        <w:pStyle w:val="ListParagraph"/>
        <w:numPr>
          <w:ilvl w:val="0"/>
          <w:numId w:val="9"/>
        </w:numPr>
        <w:spacing w:before="0" w:after="60"/>
        <w:contextualSpacing/>
        <w:jc w:val="both"/>
        <w:rPr>
          <w:rFonts w:ascii="Times New Roman" w:hAnsi="Times New Roman" w:cs="Times New Roman"/>
          <w:szCs w:val="22"/>
        </w:rPr>
      </w:pPr>
      <w:r>
        <w:rPr>
          <w:rFonts w:cs="Times New Roman" w:ascii="Times New Roman" w:hAnsi="Times New Roman"/>
          <w:szCs w:val="22"/>
        </w:rPr>
        <w:t>jednostranným odstoupením od smlouvy pro její podstatné porušení;</w:t>
      </w:r>
    </w:p>
    <w:p>
      <w:pPr>
        <w:pStyle w:val="ListParagraph"/>
        <w:numPr>
          <w:ilvl w:val="0"/>
          <w:numId w:val="9"/>
        </w:numPr>
        <w:spacing w:before="0" w:after="60"/>
        <w:contextualSpacing/>
        <w:jc w:val="both"/>
        <w:rPr>
          <w:rFonts w:ascii="Times New Roman" w:hAnsi="Times New Roman" w:cs="Times New Roman"/>
          <w:szCs w:val="22"/>
        </w:rPr>
      </w:pPr>
      <w:r>
        <w:rPr>
          <w:rFonts w:cs="Times New Roman" w:ascii="Times New Roman" w:hAnsi="Times New Roman"/>
          <w:szCs w:val="22"/>
        </w:rPr>
        <w:t>jednostranným odstoupením objednatele od smlouvy, pokud bude zhotovitel v insolvenčním řízení bude rozhodnuto o jeho úpadku nebo bude-li vůči zhotoviteli insolvenční návrh zamítnut pro nedostatek majetku k úhradě nákladů insolvenčního řízení.</w:t>
      </w:r>
    </w:p>
    <w:p>
      <w:pPr>
        <w:pStyle w:val="Normal"/>
        <w:spacing w:before="0" w:after="60"/>
        <w:ind w:left="705" w:hanging="705"/>
        <w:jc w:val="both"/>
        <w:rPr>
          <w:sz w:val="22"/>
          <w:szCs w:val="22"/>
        </w:rPr>
      </w:pPr>
      <w:r>
        <w:rPr>
          <w:b/>
          <w:sz w:val="22"/>
          <w:szCs w:val="22"/>
        </w:rPr>
        <w:t>12.2</w:t>
      </w:r>
      <w:r>
        <w:rPr>
          <w:sz w:val="22"/>
          <w:szCs w:val="22"/>
        </w:rPr>
        <w:tab/>
        <w:t>Za podstatné porušení smlouvy ze strany objednatele se považuje, jestliže objednatel nesplní své povinnosti vůči zhotoviteli týkající se peněžitého plnění plynoucího z této smlouvy, a to pokud se objednatel zpozdí o více než 45 dnů s úhradou faktury, kterou přijal a nevrátil v souladu s článkem 5.6 této smlouvy. V případě zpoždění uhradí objednatel zhotoviteli úrok z prodlení ve sjednané výši.</w:t>
      </w:r>
    </w:p>
    <w:p>
      <w:pPr>
        <w:pStyle w:val="Normal"/>
        <w:spacing w:before="0" w:after="60"/>
        <w:jc w:val="both"/>
        <w:rPr>
          <w:sz w:val="22"/>
          <w:szCs w:val="22"/>
        </w:rPr>
      </w:pPr>
      <w:r>
        <w:rPr>
          <w:b/>
          <w:sz w:val="22"/>
          <w:szCs w:val="22"/>
        </w:rPr>
        <w:t>12.3</w:t>
      </w:r>
      <w:r>
        <w:rPr>
          <w:sz w:val="22"/>
          <w:szCs w:val="22"/>
        </w:rPr>
        <w:t xml:space="preserve"> </w:t>
        <w:tab/>
        <w:t xml:space="preserve">Za podstatné porušení smlouvy ze strany zhotovitele se též považuje: </w:t>
      </w:r>
    </w:p>
    <w:p>
      <w:pPr>
        <w:pStyle w:val="Normal"/>
        <w:numPr>
          <w:ilvl w:val="0"/>
          <w:numId w:val="3"/>
        </w:numPr>
        <w:spacing w:before="0" w:after="60"/>
        <w:jc w:val="both"/>
        <w:rPr>
          <w:sz w:val="22"/>
          <w:szCs w:val="22"/>
        </w:rPr>
      </w:pPr>
      <w:r>
        <w:rPr>
          <w:sz w:val="22"/>
          <w:szCs w:val="22"/>
        </w:rPr>
        <w:t>prodlení s dokončením díla déle než 30 kalendářních dnů;</w:t>
      </w:r>
    </w:p>
    <w:p>
      <w:pPr>
        <w:pStyle w:val="Normal"/>
        <w:numPr>
          <w:ilvl w:val="0"/>
          <w:numId w:val="3"/>
        </w:numPr>
        <w:spacing w:before="0" w:after="60"/>
        <w:jc w:val="both"/>
        <w:rPr>
          <w:sz w:val="22"/>
          <w:szCs w:val="22"/>
        </w:rPr>
      </w:pPr>
      <w:r>
        <w:rPr>
          <w:sz w:val="22"/>
          <w:szCs w:val="22"/>
        </w:rPr>
        <w:t>zpoždění s plněním jakékoliv povinnosti stanovené touto smlouvou i přes opakované upozornění objednatelem o více než 10 kalendářních dnů;</w:t>
      </w:r>
    </w:p>
    <w:p>
      <w:pPr>
        <w:pStyle w:val="Normal"/>
        <w:numPr>
          <w:ilvl w:val="0"/>
          <w:numId w:val="3"/>
        </w:numPr>
        <w:spacing w:before="0" w:after="60"/>
        <w:jc w:val="both"/>
        <w:rPr>
          <w:sz w:val="22"/>
          <w:szCs w:val="22"/>
        </w:rPr>
      </w:pPr>
      <w:r>
        <w:rPr>
          <w:sz w:val="22"/>
          <w:szCs w:val="22"/>
        </w:rPr>
        <w:t>neumožnění objednateli i přes opakované upozornění provádět kontrolu provádění díla;</w:t>
      </w:r>
    </w:p>
    <w:p>
      <w:pPr>
        <w:pStyle w:val="Normal"/>
        <w:numPr>
          <w:ilvl w:val="0"/>
          <w:numId w:val="3"/>
        </w:numPr>
        <w:spacing w:before="0" w:after="60"/>
        <w:jc w:val="both"/>
        <w:rPr>
          <w:sz w:val="22"/>
          <w:szCs w:val="22"/>
        </w:rPr>
      </w:pPr>
      <w:r>
        <w:rPr>
          <w:sz w:val="22"/>
          <w:szCs w:val="22"/>
        </w:rPr>
        <w:t>provádění díla v rozporu s projektovou dokumentací;</w:t>
      </w:r>
    </w:p>
    <w:p>
      <w:pPr>
        <w:pStyle w:val="Normal"/>
        <w:numPr>
          <w:ilvl w:val="0"/>
          <w:numId w:val="3"/>
        </w:numPr>
        <w:spacing w:before="0" w:after="60"/>
        <w:jc w:val="both"/>
        <w:rPr>
          <w:sz w:val="22"/>
          <w:szCs w:val="22"/>
        </w:rPr>
      </w:pPr>
      <w:r>
        <w:rPr>
          <w:sz w:val="22"/>
          <w:szCs w:val="22"/>
        </w:rPr>
        <w:t>nedodržování příslušných platných předpisů a ČSN při provádění díla;</w:t>
      </w:r>
    </w:p>
    <w:p>
      <w:pPr>
        <w:pStyle w:val="Normal"/>
        <w:numPr>
          <w:ilvl w:val="0"/>
          <w:numId w:val="3"/>
        </w:numPr>
        <w:spacing w:before="0" w:after="60"/>
        <w:jc w:val="both"/>
        <w:rPr>
          <w:sz w:val="22"/>
          <w:szCs w:val="22"/>
        </w:rPr>
      </w:pPr>
      <w:r>
        <w:rPr>
          <w:sz w:val="22"/>
          <w:szCs w:val="22"/>
        </w:rPr>
        <w:t>provede změnu poddodavatele, jehož prostřednictvím zhotovitel prokázal kvalifikační předpoklady na realizaci díla v rámci výběrového řízení bez předchozího písemného souhlasu objednatele.</w:t>
      </w:r>
    </w:p>
    <w:p>
      <w:pPr>
        <w:pStyle w:val="Normal"/>
        <w:spacing w:before="0" w:after="60"/>
        <w:ind w:left="705" w:hanging="705"/>
        <w:jc w:val="both"/>
        <w:rPr>
          <w:sz w:val="22"/>
          <w:szCs w:val="22"/>
        </w:rPr>
      </w:pPr>
      <w:r>
        <w:rPr>
          <w:b/>
          <w:sz w:val="22"/>
          <w:szCs w:val="22"/>
        </w:rPr>
        <w:t>12.4</w:t>
      </w:r>
      <w:r>
        <w:rPr>
          <w:sz w:val="22"/>
          <w:szCs w:val="22"/>
        </w:rPr>
        <w:tab/>
        <w:t>Odstoupení od smlouvy pro podstatné či nepodstatné porušení smlouvy se dále řídí ustanovením § 2001 a násl. OZ.</w:t>
      </w:r>
    </w:p>
    <w:p>
      <w:pPr>
        <w:pStyle w:val="Normal"/>
        <w:spacing w:before="0" w:after="60"/>
        <w:ind w:left="705" w:hanging="705"/>
        <w:jc w:val="both"/>
        <w:rPr>
          <w:sz w:val="22"/>
          <w:szCs w:val="22"/>
        </w:rPr>
      </w:pPr>
      <w:r>
        <w:rPr>
          <w:b/>
          <w:sz w:val="22"/>
          <w:szCs w:val="22"/>
        </w:rPr>
        <w:t>12.5</w:t>
      </w:r>
      <w:r>
        <w:rPr>
          <w:sz w:val="22"/>
          <w:szCs w:val="22"/>
        </w:rPr>
        <w:tab/>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pPr>
        <w:pStyle w:val="Normal"/>
        <w:spacing w:before="0" w:after="60"/>
        <w:ind w:left="705" w:hanging="705"/>
        <w:jc w:val="both"/>
        <w:rPr>
          <w:sz w:val="22"/>
          <w:szCs w:val="22"/>
        </w:rPr>
      </w:pPr>
      <w:r>
        <w:rPr>
          <w:b/>
          <w:sz w:val="22"/>
          <w:szCs w:val="22"/>
        </w:rPr>
        <w:t>12.6</w:t>
      </w:r>
      <w:r>
        <w:rPr>
          <w:sz w:val="22"/>
          <w:szCs w:val="22"/>
        </w:rPr>
        <w:tab/>
        <w:t>V případě odstoupení objednatele od smlouvy z důvodu podstatného porušení smlouvy zhotovitelem dle článku 12.3 nemá zhotovitel nárok na zaplacení ceny dle čl. 4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pPr>
        <w:pStyle w:val="Normal"/>
        <w:spacing w:before="0" w:after="60"/>
        <w:ind w:left="703" w:hanging="703"/>
        <w:jc w:val="both"/>
        <w:rPr>
          <w:sz w:val="22"/>
          <w:szCs w:val="22"/>
        </w:rPr>
      </w:pPr>
      <w:r>
        <w:rPr>
          <w:b/>
          <w:sz w:val="22"/>
          <w:szCs w:val="22"/>
        </w:rPr>
        <w:t>12.7</w:t>
      </w:r>
      <w:r>
        <w:rPr>
          <w:sz w:val="22"/>
          <w:szCs w:val="22"/>
        </w:rPr>
        <w:tab/>
        <w:t>V případě odstoupení objednatele od smlouvy z důvodu podstatného porušení smlouvy ze strany zhotovitele specifikovaného v čl. 12.3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touto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pPr>
        <w:pStyle w:val="Normal"/>
        <w:spacing w:before="0" w:after="60"/>
        <w:ind w:left="703" w:hanging="703"/>
        <w:jc w:val="both"/>
        <w:rPr>
          <w:sz w:val="22"/>
          <w:szCs w:val="22"/>
        </w:rPr>
      </w:pPr>
      <w:r>
        <w:rPr>
          <w:b/>
          <w:sz w:val="22"/>
          <w:szCs w:val="22"/>
        </w:rPr>
        <w:t>12.8</w:t>
        <w:tab/>
      </w:r>
      <w:r>
        <w:rPr>
          <w:sz w:val="22"/>
          <w:szCs w:val="22"/>
        </w:rPr>
        <w:t xml:space="preserve">V případě odstoupení zhotovitele od smlouvy z důvodu podstatného porušení smlouvy objednatelem, má zhotovitel nárok na zaplacení poměrné části ceny díla odpovídající rozsahu provedeného díla. </w:t>
      </w:r>
    </w:p>
    <w:p>
      <w:pPr>
        <w:pStyle w:val="Normal"/>
        <w:spacing w:before="0" w:after="60"/>
        <w:ind w:left="703" w:hanging="703"/>
        <w:jc w:val="both"/>
        <w:rPr>
          <w:sz w:val="22"/>
          <w:szCs w:val="22"/>
        </w:rPr>
      </w:pPr>
      <w:r>
        <w:rPr>
          <w:b/>
          <w:sz w:val="22"/>
          <w:szCs w:val="22"/>
        </w:rPr>
        <w:t>12.9</w:t>
        <w:tab/>
      </w:r>
      <w:r>
        <w:rPr>
          <w:sz w:val="22"/>
          <w:szCs w:val="22"/>
        </w:rPr>
        <w:t>Odstoupení od smlouvy je účinné okamžikem doručení písemného oznámení  o odstoupení příslušné smluvní straně. Smluvní strany sjednaly, že si nebudou vracet vzájemně poskytnutá plnění.</w:t>
      </w:r>
    </w:p>
    <w:p>
      <w:pPr>
        <w:pStyle w:val="Normal"/>
        <w:spacing w:before="0" w:after="60"/>
        <w:ind w:left="703" w:hanging="703"/>
        <w:jc w:val="both"/>
        <w:rPr>
          <w:sz w:val="22"/>
          <w:szCs w:val="22"/>
        </w:rPr>
      </w:pPr>
      <w:r>
        <w:rPr>
          <w:b/>
          <w:sz w:val="22"/>
          <w:szCs w:val="22"/>
        </w:rPr>
        <w:t>12.10</w:t>
        <w:tab/>
      </w:r>
      <w:r>
        <w:rPr>
          <w:sz w:val="22"/>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t>Článek 13</w:t>
      </w:r>
    </w:p>
    <w:p>
      <w:pPr>
        <w:pStyle w:val="Normal"/>
        <w:jc w:val="center"/>
        <w:rPr>
          <w:b/>
          <w:b/>
          <w:sz w:val="22"/>
          <w:szCs w:val="22"/>
        </w:rPr>
      </w:pPr>
      <w:r>
        <w:rPr>
          <w:b/>
          <w:sz w:val="22"/>
          <w:szCs w:val="22"/>
        </w:rPr>
        <w:t>Závěrečná ujednání</w:t>
      </w:r>
    </w:p>
    <w:p>
      <w:pPr>
        <w:pStyle w:val="Normal"/>
        <w:jc w:val="center"/>
        <w:rPr>
          <w:b/>
          <w:b/>
          <w:sz w:val="22"/>
          <w:szCs w:val="22"/>
        </w:rPr>
      </w:pPr>
      <w:r>
        <w:rPr>
          <w:b/>
          <w:sz w:val="22"/>
          <w:szCs w:val="22"/>
        </w:rPr>
      </w:r>
    </w:p>
    <w:p>
      <w:pPr>
        <w:pStyle w:val="Normal"/>
        <w:spacing w:before="0" w:after="60"/>
        <w:ind w:left="705" w:hanging="705"/>
        <w:jc w:val="both"/>
        <w:rPr>
          <w:sz w:val="22"/>
          <w:szCs w:val="22"/>
        </w:rPr>
      </w:pPr>
      <w:r>
        <w:rPr>
          <w:b/>
          <w:sz w:val="22"/>
          <w:szCs w:val="22"/>
        </w:rPr>
        <w:t>13.1</w:t>
        <w:tab/>
      </w:r>
      <w:r>
        <w:rPr>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pPr>
        <w:pStyle w:val="Normal"/>
        <w:spacing w:before="0" w:after="60"/>
        <w:ind w:left="705" w:hanging="705"/>
        <w:jc w:val="both"/>
        <w:rPr>
          <w:sz w:val="22"/>
          <w:szCs w:val="22"/>
        </w:rPr>
      </w:pPr>
      <w:r>
        <w:rPr>
          <w:b/>
          <w:sz w:val="22"/>
          <w:szCs w:val="22"/>
        </w:rPr>
        <w:t>13.2</w:t>
        <w:tab/>
      </w:r>
      <w:r>
        <w:rPr>
          <w:sz w:val="22"/>
          <w:szCs w:val="22"/>
        </w:rPr>
        <w:t xml:space="preserve">Změny této smlouvy lze činit pouze po dosažení úplného konsenzu na obsahu, změny či doplňku této smlouvy, a to formou písemných, vzestupně číslovaných dodatků, potvrzených a podepsaných oběma smluvními stranami. </w:t>
      </w:r>
    </w:p>
    <w:p>
      <w:pPr>
        <w:pStyle w:val="Odsazentlatextu"/>
        <w:spacing w:before="0" w:after="60"/>
        <w:ind w:left="705" w:hanging="705"/>
        <w:jc w:val="both"/>
        <w:rPr>
          <w:sz w:val="22"/>
          <w:szCs w:val="22"/>
        </w:rPr>
      </w:pPr>
      <w:r>
        <w:rPr>
          <w:b/>
          <w:sz w:val="22"/>
          <w:szCs w:val="22"/>
        </w:rPr>
        <w:t>13.3</w:t>
      </w:r>
      <w:r>
        <w:rPr>
          <w:sz w:val="22"/>
          <w:szCs w:val="22"/>
        </w:rPr>
        <w:t xml:space="preserve"> </w:t>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pPr>
        <w:pStyle w:val="Odsazentlatextu"/>
        <w:spacing w:before="0" w:after="60"/>
        <w:ind w:left="705" w:hanging="705"/>
        <w:jc w:val="both"/>
        <w:rPr>
          <w:sz w:val="22"/>
          <w:szCs w:val="22"/>
        </w:rPr>
      </w:pPr>
      <w:r>
        <w:rPr>
          <w:b/>
          <w:sz w:val="22"/>
          <w:szCs w:val="22"/>
        </w:rPr>
        <w:t>13.4</w:t>
        <w:tab/>
      </w:r>
      <w:r>
        <w:rPr>
          <w:sz w:val="22"/>
          <w:szCs w:val="22"/>
        </w:rPr>
        <w:t>Smluvní strany prohlašují, že žádná část smlouvy nenaplňuje znaky obchodního tajemství ve smyslu ust. § 504 OZ.</w:t>
      </w:r>
    </w:p>
    <w:p>
      <w:pPr>
        <w:pStyle w:val="Odsazentlatextu"/>
        <w:spacing w:before="0" w:after="60"/>
        <w:ind w:left="705" w:hanging="705"/>
        <w:jc w:val="both"/>
        <w:rPr>
          <w:sz w:val="22"/>
          <w:szCs w:val="22"/>
        </w:rPr>
      </w:pPr>
      <w:r>
        <w:rPr>
          <w:b/>
          <w:sz w:val="22"/>
          <w:szCs w:val="22"/>
        </w:rPr>
        <w:t>13.5</w:t>
      </w:r>
      <w:r>
        <w:rPr>
          <w:sz w:val="22"/>
          <w:szCs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pPr>
        <w:pStyle w:val="Odsazentlatextu"/>
        <w:spacing w:before="0" w:after="60"/>
        <w:ind w:left="705" w:hanging="705"/>
        <w:jc w:val="both"/>
        <w:rPr>
          <w:b/>
          <w:b/>
          <w:sz w:val="22"/>
          <w:szCs w:val="22"/>
        </w:rPr>
      </w:pPr>
      <w:r>
        <w:rPr>
          <w:b/>
          <w:sz w:val="22"/>
          <w:szCs w:val="22"/>
        </w:rPr>
        <w:t>13.6</w:t>
        <w:tab/>
      </w:r>
      <w:r>
        <w:rPr>
          <w:sz w:val="22"/>
          <w:szCs w:val="22"/>
        </w:rPr>
        <w:t>Zhotovitel bere na vědomí, že objednatel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pPr>
        <w:pStyle w:val="Odsazentlatextu"/>
        <w:spacing w:before="0" w:after="60"/>
        <w:ind w:left="705" w:hanging="705"/>
        <w:jc w:val="both"/>
        <w:rPr>
          <w:color w:val="339966"/>
          <w:sz w:val="22"/>
          <w:szCs w:val="22"/>
        </w:rPr>
      </w:pPr>
      <w:r>
        <w:rPr>
          <w:b/>
          <w:sz w:val="22"/>
          <w:szCs w:val="22"/>
        </w:rPr>
        <w:t xml:space="preserve">13.7 </w:t>
        <w:tab/>
      </w:r>
      <w:r>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pPr>
        <w:pStyle w:val="Odsazentlatextu"/>
        <w:spacing w:before="0" w:after="60"/>
        <w:ind w:left="705" w:hanging="705"/>
        <w:jc w:val="both"/>
        <w:rPr>
          <w:sz w:val="22"/>
          <w:szCs w:val="22"/>
        </w:rPr>
      </w:pPr>
      <w:r>
        <w:rPr>
          <w:b/>
          <w:sz w:val="22"/>
          <w:szCs w:val="22"/>
        </w:rPr>
        <w:t>13.8</w:t>
      </w:r>
      <w:r>
        <w:rPr>
          <w:sz w:val="22"/>
          <w:szCs w:val="22"/>
        </w:rPr>
        <w:t xml:space="preserve"> </w:t>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pPr>
        <w:pStyle w:val="Odsazentlatextu"/>
        <w:spacing w:before="0" w:after="60"/>
        <w:ind w:left="0" w:hanging="0"/>
        <w:jc w:val="both"/>
        <w:rPr>
          <w:sz w:val="22"/>
          <w:szCs w:val="22"/>
        </w:rPr>
      </w:pPr>
      <w:r>
        <w:rPr>
          <w:b/>
          <w:sz w:val="22"/>
          <w:szCs w:val="22"/>
        </w:rPr>
        <w:t>13.9</w:t>
      </w:r>
      <w:r>
        <w:rPr>
          <w:sz w:val="22"/>
          <w:szCs w:val="22"/>
        </w:rPr>
        <w:tab/>
        <w:t>Tato smlouva nabývá platnosti dnem podpisu poslední smluvní stranou.</w:t>
      </w:r>
    </w:p>
    <w:p>
      <w:pPr>
        <w:pStyle w:val="Odsazentlatextu"/>
        <w:spacing w:before="0" w:after="60"/>
        <w:ind w:left="705" w:hanging="705"/>
        <w:jc w:val="both"/>
        <w:rPr>
          <w:iCs/>
          <w:sz w:val="22"/>
          <w:szCs w:val="22"/>
        </w:rPr>
      </w:pPr>
      <w:r>
        <w:rPr>
          <w:b/>
          <w:sz w:val="22"/>
          <w:szCs w:val="22"/>
        </w:rPr>
        <w:t>13.10</w:t>
      </w:r>
      <w:r>
        <w:rPr>
          <w:sz w:val="22"/>
          <w:szCs w:val="22"/>
        </w:rPr>
        <w:tab/>
        <w:t xml:space="preserve">Tato smlouva nabývá </w:t>
      </w:r>
      <w:r>
        <w:rPr>
          <w:iCs/>
          <w:sz w:val="22"/>
          <w:szCs w:val="22"/>
        </w:rPr>
        <w:t>účinnosti dnem zveřejnění této smlouvy v registru smluv dle zákona o registru smluv.</w:t>
      </w:r>
    </w:p>
    <w:p>
      <w:pPr>
        <w:pStyle w:val="Odsazentlatextu"/>
        <w:spacing w:before="0" w:after="60"/>
        <w:ind w:left="705" w:hanging="705"/>
        <w:jc w:val="both"/>
        <w:rPr/>
      </w:pPr>
      <w:r>
        <w:rPr>
          <w:b/>
          <w:sz w:val="22"/>
          <w:szCs w:val="22"/>
        </w:rPr>
        <w:t>13.11</w:t>
      </w:r>
      <w:r>
        <w:rPr>
          <w:sz w:val="22"/>
          <w:szCs w:val="22"/>
        </w:rPr>
        <w:t xml:space="preserve"> </w:t>
        <w:tab/>
        <w:t>Tato smlouva je vyhotovena v jednom originále, který je elektronicky podepsaný oběma smluvními stranami.</w:t>
      </w:r>
    </w:p>
    <w:p>
      <w:pPr>
        <w:pStyle w:val="Odsazentlatextu"/>
        <w:spacing w:before="0" w:after="60"/>
        <w:ind w:left="705" w:hanging="705"/>
        <w:jc w:val="both"/>
        <w:rPr>
          <w:sz w:val="22"/>
          <w:szCs w:val="22"/>
        </w:rPr>
      </w:pPr>
      <w:r>
        <w:rPr>
          <w:b/>
          <w:sz w:val="22"/>
          <w:szCs w:val="22"/>
        </w:rPr>
        <w:t>13.12</w:t>
      </w:r>
      <w:r>
        <w:rPr>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pPr>
        <w:pStyle w:val="Odsazentlatextu"/>
        <w:spacing w:before="0" w:after="0"/>
        <w:ind w:left="0" w:hanging="0"/>
        <w:jc w:val="both"/>
        <w:rPr>
          <w:sz w:val="22"/>
          <w:szCs w:val="22"/>
        </w:rPr>
      </w:pPr>
      <w:r>
        <w:rPr>
          <w:sz w:val="22"/>
          <w:szCs w:val="22"/>
        </w:rPr>
      </w:r>
    </w:p>
    <w:p>
      <w:pPr>
        <w:pStyle w:val="Odsazentlatextu"/>
        <w:spacing w:before="0" w:after="0"/>
        <w:ind w:left="705" w:hanging="705"/>
        <w:jc w:val="both"/>
        <w:rPr>
          <w:sz w:val="22"/>
          <w:szCs w:val="22"/>
        </w:rPr>
      </w:pPr>
      <w:r>
        <w:rPr>
          <w:sz w:val="22"/>
          <w:szCs w:val="22"/>
        </w:rPr>
      </w:r>
    </w:p>
    <w:p>
      <w:pPr>
        <w:pStyle w:val="Odsazentlatextu"/>
        <w:spacing w:before="0" w:after="0"/>
        <w:ind w:left="705" w:hanging="705"/>
        <w:jc w:val="both"/>
        <w:rPr>
          <w:sz w:val="22"/>
          <w:szCs w:val="22"/>
        </w:rPr>
      </w:pPr>
      <w:r>
        <w:rPr>
          <w:sz w:val="22"/>
          <w:szCs w:val="22"/>
        </w:rPr>
        <w:t>Součástí smlouvy jsou přílohy:</w:t>
      </w:r>
    </w:p>
    <w:p>
      <w:pPr>
        <w:pStyle w:val="Odsazentlatextu"/>
        <w:spacing w:before="0" w:after="0"/>
        <w:ind w:left="705" w:hanging="705"/>
        <w:jc w:val="both"/>
        <w:rPr>
          <w:sz w:val="22"/>
          <w:szCs w:val="22"/>
        </w:rPr>
      </w:pPr>
      <w:r>
        <w:rPr>
          <w:sz w:val="22"/>
          <w:szCs w:val="22"/>
        </w:rPr>
        <w:t>Podrobná specifikace díla</w:t>
      </w:r>
    </w:p>
    <w:p>
      <w:pPr>
        <w:pStyle w:val="Odsazentlatextu"/>
        <w:spacing w:before="0" w:after="0"/>
        <w:ind w:left="705" w:hanging="705"/>
        <w:jc w:val="both"/>
        <w:rPr>
          <w:sz w:val="22"/>
          <w:szCs w:val="22"/>
        </w:rPr>
      </w:pPr>
      <w:r>
        <w:rPr>
          <w:sz w:val="22"/>
          <w:szCs w:val="22"/>
        </w:rPr>
        <w:t>Položkový rozpočet</w:t>
      </w:r>
    </w:p>
    <w:p>
      <w:pPr>
        <w:pStyle w:val="Odsazentlatextu"/>
        <w:spacing w:before="0" w:after="0"/>
        <w:ind w:left="705" w:hanging="705"/>
        <w:jc w:val="both"/>
        <w:rPr>
          <w:sz w:val="22"/>
          <w:szCs w:val="22"/>
        </w:rPr>
      </w:pPr>
      <w:r>
        <w:rPr>
          <w:sz w:val="22"/>
          <w:szCs w:val="22"/>
        </w:rPr>
      </w:r>
    </w:p>
    <w:p>
      <w:pPr>
        <w:pStyle w:val="Normal"/>
        <w:ind w:right="-766" w:hanging="0"/>
        <w:jc w:val="both"/>
        <w:rPr>
          <w:sz w:val="22"/>
          <w:szCs w:val="22"/>
        </w:rPr>
      </w:pPr>
      <w:r>
        <w:rPr>
          <w:sz w:val="22"/>
          <w:szCs w:val="22"/>
        </w:rPr>
      </w:r>
    </w:p>
    <w:p>
      <w:pPr>
        <w:pStyle w:val="Normal"/>
        <w:jc w:val="both"/>
        <w:rPr>
          <w:sz w:val="22"/>
          <w:szCs w:val="22"/>
        </w:rPr>
      </w:pPr>
      <w:r>
        <w:rPr>
          <w:sz w:val="22"/>
          <w:szCs w:val="22"/>
        </w:rPr>
      </w:r>
    </w:p>
    <w:p>
      <w:pPr>
        <w:pStyle w:val="Normal"/>
        <w:shd w:val="clear" w:color="auto" w:fill="FFFFFF" w:themeFill="background1"/>
        <w:tabs>
          <w:tab w:val="clear" w:pos="709"/>
          <w:tab w:val="left" w:pos="5103" w:leader="none"/>
        </w:tabs>
        <w:rPr>
          <w:sz w:val="22"/>
          <w:szCs w:val="22"/>
        </w:rPr>
      </w:pPr>
      <w:r>
        <w:rPr>
          <w:sz w:val="22"/>
          <w:szCs w:val="22"/>
        </w:rPr>
        <w:t>V Pardubicích dne …………………</w:t>
        <w:tab/>
        <w:t>V ………..…… dne</w:t>
      </w:r>
    </w:p>
    <w:p>
      <w:pPr>
        <w:pStyle w:val="Normal"/>
        <w:shd w:val="clear" w:color="auto" w:fill="FFFFFF" w:themeFill="background1"/>
        <w:rPr>
          <w:sz w:val="22"/>
          <w:szCs w:val="22"/>
        </w:rPr>
      </w:pPr>
      <w:r>
        <w:rPr>
          <w:sz w:val="22"/>
          <w:szCs w:val="22"/>
        </w:rPr>
        <w:tab/>
      </w:r>
    </w:p>
    <w:p>
      <w:pPr>
        <w:pStyle w:val="Normal"/>
        <w:shd w:val="clear" w:color="auto" w:fill="FFFFFF" w:themeFill="background1"/>
        <w:rPr>
          <w:sz w:val="22"/>
          <w:szCs w:val="22"/>
        </w:rPr>
      </w:pPr>
      <w:r>
        <w:rPr>
          <w:sz w:val="22"/>
          <w:szCs w:val="22"/>
        </w:rPr>
      </w:r>
    </w:p>
    <w:p>
      <w:pPr>
        <w:pStyle w:val="Normal"/>
        <w:tabs>
          <w:tab w:val="clear" w:pos="709"/>
          <w:tab w:val="left" w:pos="5103" w:leader="none"/>
        </w:tabs>
        <w:rPr>
          <w:sz w:val="22"/>
          <w:szCs w:val="22"/>
        </w:rPr>
      </w:pPr>
      <w:r>
        <w:rPr>
          <w:sz w:val="22"/>
          <w:szCs w:val="22"/>
        </w:rPr>
        <w:t>Za objednatele:</w:t>
        <w:tab/>
        <w:t>Za zhotovitele:</w:t>
      </w:r>
    </w:p>
    <w:p>
      <w:pPr>
        <w:pStyle w:val="Normal"/>
        <w:rPr>
          <w:sz w:val="22"/>
          <w:szCs w:val="22"/>
          <w:highlight w:val="white"/>
        </w:rPr>
      </w:pPr>
      <w:r>
        <w:rPr>
          <w:sz w:val="22"/>
          <w:szCs w:val="22"/>
          <w:highlight w:val="white"/>
        </w:rPr>
      </w:r>
    </w:p>
    <w:p>
      <w:pPr>
        <w:pStyle w:val="Normal"/>
        <w:rPr>
          <w:sz w:val="22"/>
          <w:szCs w:val="22"/>
          <w:highlight w:val="white"/>
        </w:rPr>
      </w:pPr>
      <w:r>
        <w:rPr>
          <w:sz w:val="22"/>
          <w:szCs w:val="22"/>
          <w:highlight w:val="white"/>
        </w:rPr>
      </w:r>
    </w:p>
    <w:p>
      <w:pPr>
        <w:pStyle w:val="Normal"/>
        <w:rPr>
          <w:sz w:val="22"/>
          <w:szCs w:val="22"/>
          <w:highlight w:val="white"/>
        </w:rPr>
      </w:pPr>
      <w:r>
        <w:rPr>
          <w:sz w:val="22"/>
          <w:szCs w:val="22"/>
          <w:highlight w:val="white"/>
        </w:rPr>
      </w:r>
    </w:p>
    <w:p>
      <w:pPr>
        <w:pStyle w:val="Normal"/>
        <w:rPr>
          <w:sz w:val="22"/>
          <w:szCs w:val="22"/>
          <w:highlight w:val="white"/>
        </w:rPr>
      </w:pPr>
      <w:r>
        <w:rPr>
          <w:sz w:val="22"/>
          <w:szCs w:val="22"/>
          <w:highlight w:val="white"/>
        </w:rPr>
      </w:r>
    </w:p>
    <w:p>
      <w:pPr>
        <w:pStyle w:val="Normal"/>
        <w:rPr>
          <w:sz w:val="22"/>
          <w:szCs w:val="22"/>
          <w:highlight w:val="white"/>
        </w:rPr>
      </w:pPr>
      <w:r>
        <w:rPr>
          <w:sz w:val="22"/>
          <w:szCs w:val="22"/>
          <w:highlight w:val="white"/>
        </w:rPr>
      </w:r>
    </w:p>
    <w:p>
      <w:pPr>
        <w:pStyle w:val="Normal"/>
        <w:rPr>
          <w:sz w:val="22"/>
          <w:szCs w:val="22"/>
          <w:highlight w:val="white"/>
        </w:rPr>
      </w:pPr>
      <w:r>
        <w:rPr>
          <w:sz w:val="22"/>
          <w:szCs w:val="22"/>
          <w:highlight w:val="white"/>
        </w:rPr>
      </w:r>
    </w:p>
    <w:p>
      <w:pPr>
        <w:pStyle w:val="Normal"/>
        <w:tabs>
          <w:tab w:val="clear" w:pos="709"/>
          <w:tab w:val="left" w:pos="5103" w:leader="none"/>
        </w:tabs>
        <w:rPr>
          <w:bCs/>
          <w:sz w:val="22"/>
          <w:szCs w:val="22"/>
        </w:rPr>
      </w:pPr>
      <w:r>
        <w:rPr>
          <w:sz w:val="22"/>
          <w:szCs w:val="22"/>
          <w:shd w:fill="FFFFFF" w:val="clear"/>
        </w:rPr>
        <w:t>………………………………………</w:t>
      </w:r>
      <w:r>
        <w:rPr>
          <w:sz w:val="22"/>
          <w:szCs w:val="22"/>
          <w:shd w:fill="FFFFFF" w:val="clear"/>
        </w:rPr>
        <w:t>.</w:t>
        <w:tab/>
        <w:t>………………………………………</w:t>
        <w:tab/>
        <w:t xml:space="preserve">               </w:t>
      </w:r>
    </w:p>
    <w:p>
      <w:pPr>
        <w:pStyle w:val="Normal"/>
        <w:rPr>
          <w:bCs/>
          <w:sz w:val="22"/>
          <w:szCs w:val="22"/>
        </w:rPr>
      </w:pPr>
      <w:r>
        <w:rPr>
          <w:bCs/>
          <w:sz w:val="22"/>
          <w:szCs w:val="22"/>
        </w:rPr>
        <w:t>MUDr. Tomáš Gottvald, MHA</w:t>
        <w:tab/>
        <w:tab/>
        <w:tab/>
        <w:tab/>
        <w:tab/>
        <w:t xml:space="preserve"> </w:t>
        <w:tab/>
        <w:t xml:space="preserve">                                                                                 </w:t>
      </w:r>
    </w:p>
    <w:p>
      <w:pPr>
        <w:pStyle w:val="Normal"/>
        <w:rPr>
          <w:bCs/>
          <w:sz w:val="22"/>
          <w:szCs w:val="22"/>
        </w:rPr>
      </w:pPr>
      <w:r>
        <w:rPr>
          <w:bCs/>
          <w:sz w:val="22"/>
          <w:szCs w:val="22"/>
        </w:rPr>
        <w:t xml:space="preserve">předseda představenstva                                                                                                                                                                                                                                            </w:t>
      </w:r>
    </w:p>
    <w:p>
      <w:pPr>
        <w:pStyle w:val="Normal"/>
        <w:rPr>
          <w:bCs/>
          <w:sz w:val="22"/>
          <w:szCs w:val="22"/>
        </w:rPr>
      </w:pPr>
      <w:r>
        <w:rPr>
          <w:bCs/>
          <w:sz w:val="22"/>
          <w:szCs w:val="22"/>
        </w:rPr>
        <w:t xml:space="preserve"> </w:t>
      </w:r>
    </w:p>
    <w:p>
      <w:pPr>
        <w:pStyle w:val="Normal"/>
        <w:rPr>
          <w:bCs/>
          <w:sz w:val="22"/>
          <w:szCs w:val="22"/>
        </w:rPr>
      </w:pPr>
      <w:r>
        <w:rPr>
          <w:bCs/>
          <w:sz w:val="22"/>
          <w:szCs w:val="22"/>
        </w:rPr>
      </w:r>
    </w:p>
    <w:p>
      <w:pPr>
        <w:pStyle w:val="Normal"/>
        <w:rPr>
          <w:bCs/>
          <w:sz w:val="22"/>
          <w:szCs w:val="22"/>
        </w:rPr>
      </w:pPr>
      <w:r>
        <w:rPr>
          <w:bCs/>
          <w:sz w:val="22"/>
          <w:szCs w:val="22"/>
        </w:rPr>
      </w:r>
    </w:p>
    <w:p>
      <w:pPr>
        <w:pStyle w:val="Normal"/>
        <w:rPr>
          <w:bCs/>
          <w:sz w:val="22"/>
          <w:szCs w:val="22"/>
        </w:rPr>
      </w:pPr>
      <w:r>
        <w:rPr>
          <w:bCs/>
          <w:sz w:val="22"/>
          <w:szCs w:val="22"/>
        </w:rPr>
      </w:r>
    </w:p>
    <w:p>
      <w:pPr>
        <w:pStyle w:val="Normal"/>
        <w:rPr>
          <w:bCs/>
          <w:sz w:val="22"/>
          <w:szCs w:val="22"/>
        </w:rPr>
      </w:pPr>
      <w:r>
        <w:rPr>
          <w:bCs/>
          <w:sz w:val="22"/>
          <w:szCs w:val="22"/>
        </w:rPr>
      </w:r>
    </w:p>
    <w:p>
      <w:pPr>
        <w:pStyle w:val="Normal"/>
        <w:tabs>
          <w:tab w:val="clear" w:pos="709"/>
          <w:tab w:val="left" w:pos="5103" w:leader="none"/>
        </w:tabs>
        <w:rPr>
          <w:bCs/>
          <w:sz w:val="22"/>
          <w:szCs w:val="22"/>
        </w:rPr>
      </w:pPr>
      <w:r>
        <w:rPr>
          <w:bCs/>
          <w:sz w:val="22"/>
          <w:szCs w:val="22"/>
        </w:rPr>
        <w:t>……………………………………</w:t>
      </w:r>
      <w:r>
        <w:rPr>
          <w:bCs/>
          <w:sz w:val="22"/>
          <w:szCs w:val="22"/>
        </w:rPr>
        <w:t>..</w:t>
        <w:tab/>
        <w:t>……………………………………….</w:t>
      </w:r>
    </w:p>
    <w:p>
      <w:pPr>
        <w:pStyle w:val="Normal"/>
        <w:rPr>
          <w:bCs/>
          <w:sz w:val="22"/>
          <w:szCs w:val="22"/>
        </w:rPr>
      </w:pPr>
      <w:r>
        <w:rPr>
          <w:bCs/>
          <w:sz w:val="22"/>
          <w:szCs w:val="22"/>
        </w:rPr>
        <w:t>Ing. František Lešundák</w:t>
        <w:tab/>
        <w:tab/>
        <w:tab/>
        <w:t xml:space="preserve">                                                                                                </w:t>
      </w:r>
    </w:p>
    <w:p>
      <w:pPr>
        <w:pStyle w:val="Normal"/>
        <w:rPr>
          <w:bCs/>
          <w:sz w:val="22"/>
          <w:szCs w:val="22"/>
        </w:rPr>
      </w:pPr>
      <w:r>
        <w:rPr>
          <w:bCs/>
          <w:sz w:val="22"/>
          <w:szCs w:val="22"/>
        </w:rPr>
        <w:t>místopředseda představenstva</w:t>
        <w:tab/>
        <w:tab/>
        <w:tab/>
        <w:tab/>
        <w:t xml:space="preserve">                                                                                                 </w:t>
      </w:r>
    </w:p>
    <w:p>
      <w:pPr>
        <w:pStyle w:val="Normal"/>
        <w:rPr>
          <w:bCs/>
          <w:sz w:val="22"/>
          <w:szCs w:val="22"/>
        </w:rPr>
      </w:pPr>
      <w:r>
        <w:rPr>
          <w:bCs/>
          <w:sz w:val="22"/>
          <w:szCs w:val="22"/>
        </w:rPr>
      </w:r>
    </w:p>
    <w:p>
      <w:pPr>
        <w:pStyle w:val="Normal"/>
        <w:rPr>
          <w:bCs/>
          <w:sz w:val="22"/>
          <w:szCs w:val="22"/>
        </w:rPr>
      </w:pPr>
      <w:r>
        <w:rPr>
          <w:bCs/>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pPr>
      <w:r>
        <w:rPr/>
      </w:r>
    </w:p>
    <w:sectPr>
      <w:headerReference w:type="default" r:id="rId2"/>
      <w:type w:val="nextPage"/>
      <w:pgSz w:w="11906" w:h="16838"/>
      <w:pgMar w:left="1134" w:right="1134" w:header="709" w:top="1418" w:footer="72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Calibri Light">
    <w:charset w:val="ee"/>
    <w:family w:val="roman"/>
    <w:pitch w:val="variable"/>
  </w:font>
  <w:font w:name="Segoe UI">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drawing>
        <wp:anchor behindDoc="1" distT="0" distB="0" distL="0" distR="0" simplePos="0" locked="0" layoutInCell="1" allowOverlap="1" relativeHeight="12">
          <wp:simplePos x="0" y="0"/>
          <wp:positionH relativeFrom="margin">
            <wp:posOffset>3897630</wp:posOffset>
          </wp:positionH>
          <wp:positionV relativeFrom="paragraph">
            <wp:posOffset>-257810</wp:posOffset>
          </wp:positionV>
          <wp:extent cx="2152015" cy="575945"/>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52015" cy="57594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decimal"/>
      <w:lvlText w:val="%1"/>
      <w:lvlJc w:val="left"/>
      <w:pPr>
        <w:ind w:left="432" w:hanging="432"/>
      </w:pPr>
    </w:lvl>
    <w:lvl w:ilvl="1">
      <w:start w:val="1"/>
      <w:pStyle w:val="Nadpis2"/>
      <w:numFmt w:val="decimal"/>
      <w:lvlText w:val="%1.%2"/>
      <w:lvlJc w:val="left"/>
      <w:pPr>
        <w:ind w:left="576" w:hanging="576"/>
      </w:pPr>
    </w:lvl>
    <w:lvl w:ilvl="2">
      <w:start w:val="1"/>
      <w:pStyle w:val="Nadpis3"/>
      <w:numFmt w:val="decimal"/>
      <w:lvlText w:val="%1.%2.%3"/>
      <w:lvlJc w:val="left"/>
      <w:pPr>
        <w:ind w:left="720" w:hanging="720"/>
      </w:pPr>
    </w:lvl>
    <w:lvl w:ilvl="3">
      <w:start w:val="1"/>
      <w:pStyle w:val="Nadpis4"/>
      <w:numFmt w:val="decimal"/>
      <w:lvlText w:val="%1.%2.%3.%4"/>
      <w:lvlJc w:val="left"/>
      <w:pPr>
        <w:ind w:left="864" w:hanging="864"/>
      </w:pPr>
    </w:lvl>
    <w:lvl w:ilvl="4">
      <w:start w:val="1"/>
      <w:pStyle w:val="Nadpis5"/>
      <w:numFmt w:val="decimal"/>
      <w:lvlText w:val="%1.%2.%3.%4.%5"/>
      <w:lvlJc w:val="left"/>
      <w:pPr>
        <w:ind w:left="1008" w:hanging="1008"/>
      </w:pPr>
    </w:lvl>
    <w:lvl w:ilvl="5">
      <w:start w:val="1"/>
      <w:pStyle w:val="Nadpis6"/>
      <w:numFmt w:val="decimal"/>
      <w:lvlText w:val="%1.%2.%3.%4.%5.%6"/>
      <w:lvlJc w:val="left"/>
      <w:pPr>
        <w:ind w:left="1152" w:hanging="1152"/>
      </w:pPr>
    </w:lvl>
    <w:lvl w:ilvl="6">
      <w:start w:val="1"/>
      <w:pStyle w:val="Nadpis7"/>
      <w:numFmt w:val="decimal"/>
      <w:lvlText w:val="%1.%2.%3.%4.%5.%6.%7"/>
      <w:lvlJc w:val="left"/>
      <w:pPr>
        <w:ind w:left="1296" w:hanging="1296"/>
      </w:pPr>
    </w:lvl>
    <w:lvl w:ilvl="7">
      <w:start w:val="1"/>
      <w:pStyle w:val="Nadpis8"/>
      <w:numFmt w:val="decimal"/>
      <w:lvlText w:val="%1.%2.%3.%4.%5.%6.%7.%8"/>
      <w:lvlJc w:val="left"/>
      <w:pPr>
        <w:ind w:left="1440" w:hanging="1440"/>
      </w:pPr>
    </w:lvl>
    <w:lvl w:ilvl="8">
      <w:start w:val="1"/>
      <w:pStyle w:val="Nadpis9"/>
      <w:numFmt w:val="decimal"/>
      <w:lvlText w:val="%1.%2.%3.%4.%5.%6.%7.%8.%9"/>
      <w:lvlJc w:val="left"/>
      <w:pPr>
        <w:ind w:left="1584" w:hanging="1584"/>
      </w:pPr>
    </w:lvl>
  </w:abstractNum>
  <w:abstractNum w:abstractNumId="2">
    <w:lvl w:ilvl="0">
      <w:start w:val="1"/>
      <w:numFmt w:val="decimal"/>
      <w:lvlText w:val="%1."/>
      <w:lvlJc w:val="left"/>
      <w:pPr>
        <w:ind w:left="720" w:hanging="360"/>
      </w:pPr>
      <w:rPr>
        <w:sz w:val="28"/>
        <w:b/>
        <w:szCs w:val="28"/>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lvl w:ilvl="0">
      <w:start w:val="1"/>
      <w:numFmt w:val="lowerLetter"/>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
    <w:lvl w:ilvl="0">
      <w:start w:val="1"/>
      <w:numFmt w:val="bullet"/>
      <w:lvlText w:val=""/>
      <w:lvlJc w:val="left"/>
      <w:pPr>
        <w:tabs>
          <w:tab w:val="num" w:pos="1065"/>
        </w:tabs>
        <w:ind w:left="1065" w:hanging="360"/>
      </w:pPr>
      <w:rPr>
        <w:rFonts w:ascii="Symbol" w:hAnsi="Symbol" w:cs="Symbol" w:hint="default"/>
        <w:sz w:val="22"/>
        <w:rFonts w:cs="Symbol"/>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6">
    <w:lvl w:ilvl="0">
      <w:start w:val="1"/>
      <w:numFmt w:val="bullet"/>
      <w:lvlText w:val=""/>
      <w:lvlJc w:val="left"/>
      <w:pPr>
        <w:ind w:left="1425" w:hanging="360"/>
      </w:pPr>
      <w:rPr>
        <w:rFonts w:ascii="Symbol" w:hAnsi="Symbol" w:cs="Symbol" w:hint="default"/>
        <w:rFonts w:cs="Symbol"/>
      </w:rPr>
    </w:lvl>
    <w:lvl w:ilvl="1">
      <w:start w:val="1"/>
      <w:numFmt w:val="bullet"/>
      <w:lvlText w:val="o"/>
      <w:lvlJc w:val="left"/>
      <w:pPr>
        <w:ind w:left="2145" w:hanging="360"/>
      </w:pPr>
      <w:rPr>
        <w:rFonts w:ascii="Courier New" w:hAnsi="Courier New" w:cs="Courier New" w:hint="default"/>
        <w:rFonts w:cs="Courier New"/>
      </w:rPr>
    </w:lvl>
    <w:lvl w:ilvl="2">
      <w:start w:val="1"/>
      <w:numFmt w:val="bullet"/>
      <w:lvlText w:val=""/>
      <w:lvlJc w:val="left"/>
      <w:pPr>
        <w:ind w:left="2865" w:hanging="360"/>
      </w:pPr>
      <w:rPr>
        <w:rFonts w:ascii="Wingdings" w:hAnsi="Wingdings" w:cs="Wingdings" w:hint="default"/>
        <w:rFonts w:cs="Wingdings"/>
      </w:rPr>
    </w:lvl>
    <w:lvl w:ilvl="3">
      <w:start w:val="1"/>
      <w:numFmt w:val="bullet"/>
      <w:lvlText w:val=""/>
      <w:lvlJc w:val="left"/>
      <w:pPr>
        <w:ind w:left="3585" w:hanging="360"/>
      </w:pPr>
      <w:rPr>
        <w:rFonts w:ascii="Symbol" w:hAnsi="Symbol" w:cs="Symbol" w:hint="default"/>
        <w:rFonts w:cs="Symbol"/>
      </w:rPr>
    </w:lvl>
    <w:lvl w:ilvl="4">
      <w:start w:val="1"/>
      <w:numFmt w:val="bullet"/>
      <w:lvlText w:val="o"/>
      <w:lvlJc w:val="left"/>
      <w:pPr>
        <w:ind w:left="4305" w:hanging="360"/>
      </w:pPr>
      <w:rPr>
        <w:rFonts w:ascii="Courier New" w:hAnsi="Courier New" w:cs="Courier New" w:hint="default"/>
        <w:rFonts w:cs="Courier New"/>
      </w:rPr>
    </w:lvl>
    <w:lvl w:ilvl="5">
      <w:start w:val="1"/>
      <w:numFmt w:val="bullet"/>
      <w:lvlText w:val=""/>
      <w:lvlJc w:val="left"/>
      <w:pPr>
        <w:ind w:left="5025" w:hanging="360"/>
      </w:pPr>
      <w:rPr>
        <w:rFonts w:ascii="Wingdings" w:hAnsi="Wingdings" w:cs="Wingdings" w:hint="default"/>
        <w:rFonts w:cs="Wingdings"/>
      </w:rPr>
    </w:lvl>
    <w:lvl w:ilvl="6">
      <w:start w:val="1"/>
      <w:numFmt w:val="bullet"/>
      <w:lvlText w:val=""/>
      <w:lvlJc w:val="left"/>
      <w:pPr>
        <w:ind w:left="5745" w:hanging="360"/>
      </w:pPr>
      <w:rPr>
        <w:rFonts w:ascii="Symbol" w:hAnsi="Symbol" w:cs="Symbol" w:hint="default"/>
        <w:rFonts w:cs="Symbol"/>
      </w:rPr>
    </w:lvl>
    <w:lvl w:ilvl="7">
      <w:start w:val="1"/>
      <w:numFmt w:val="bullet"/>
      <w:lvlText w:val="o"/>
      <w:lvlJc w:val="left"/>
      <w:pPr>
        <w:ind w:left="6465" w:hanging="360"/>
      </w:pPr>
      <w:rPr>
        <w:rFonts w:ascii="Courier New" w:hAnsi="Courier New" w:cs="Courier New" w:hint="default"/>
        <w:rFonts w:cs="Courier New"/>
      </w:rPr>
    </w:lvl>
    <w:lvl w:ilvl="8">
      <w:start w:val="1"/>
      <w:numFmt w:val="bullet"/>
      <w:lvlText w:val=""/>
      <w:lvlJc w:val="left"/>
      <w:pPr>
        <w:ind w:left="7185" w:hanging="360"/>
      </w:pPr>
      <w:rPr>
        <w:rFonts w:ascii="Wingdings" w:hAnsi="Wingdings" w:cs="Wingdings" w:hint="default"/>
        <w:rFonts w:cs="Wingdings"/>
      </w:rPr>
    </w:lvl>
  </w:abstractNum>
  <w:abstractNum w:abstractNumId="7">
    <w:lvl w:ilvl="0">
      <w:start w:val="1"/>
      <w:numFmt w:val="bullet"/>
      <w:lvlText w:val=""/>
      <w:lvlJc w:val="left"/>
      <w:pPr>
        <w:ind w:left="1429" w:hanging="360"/>
      </w:pPr>
      <w:rPr>
        <w:rFonts w:ascii="Symbol" w:hAnsi="Symbol" w:cs="Symbol" w:hint="default"/>
        <w:b/>
        <w:rFonts w:cs="Symbol"/>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8">
    <w:lvl w:ilvl="0">
      <w:start w:val="1"/>
      <w:numFmt w:val="bullet"/>
      <w:lvlText w:val=""/>
      <w:lvlJc w:val="left"/>
      <w:pPr>
        <w:ind w:left="1429" w:hanging="360"/>
      </w:pPr>
      <w:rPr>
        <w:rFonts w:ascii="Symbol" w:hAnsi="Symbol" w:cs="Symbol" w:hint="default"/>
        <w:b/>
        <w:rFonts w:cs="Symbol"/>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9">
    <w:lvl w:ilvl="0">
      <w:start w:val="1"/>
      <w:numFmt w:val="bullet"/>
      <w:lvlText w:val=""/>
      <w:lvlJc w:val="left"/>
      <w:pPr>
        <w:ind w:left="1069" w:hanging="360"/>
      </w:pPr>
      <w:rPr>
        <w:rFonts w:ascii="Symbol" w:hAnsi="Symbol" w:cs="Symbol" w:hint="default"/>
        <w:rFonts w:cs="Symbol"/>
      </w:rPr>
    </w:lvl>
    <w:lvl w:ilvl="1">
      <w:start w:val="1"/>
      <w:numFmt w:val="bullet"/>
      <w:lvlText w:val="o"/>
      <w:lvlJc w:val="left"/>
      <w:pPr>
        <w:ind w:left="1789" w:hanging="360"/>
      </w:pPr>
      <w:rPr>
        <w:rFonts w:ascii="Courier New" w:hAnsi="Courier New" w:cs="Courier New" w:hint="default"/>
        <w:rFonts w:cs="Courier New"/>
      </w:rPr>
    </w:lvl>
    <w:lvl w:ilvl="2">
      <w:start w:val="1"/>
      <w:numFmt w:val="bullet"/>
      <w:lvlText w:val=""/>
      <w:lvlJc w:val="left"/>
      <w:pPr>
        <w:ind w:left="2509" w:hanging="360"/>
      </w:pPr>
      <w:rPr>
        <w:rFonts w:ascii="Wingdings" w:hAnsi="Wingdings" w:cs="Wingdings" w:hint="default"/>
        <w:rFonts w:cs="Wingdings"/>
      </w:rPr>
    </w:lvl>
    <w:lvl w:ilvl="3">
      <w:start w:val="1"/>
      <w:numFmt w:val="bullet"/>
      <w:lvlText w:val=""/>
      <w:lvlJc w:val="left"/>
      <w:pPr>
        <w:ind w:left="3229" w:hanging="360"/>
      </w:pPr>
      <w:rPr>
        <w:rFonts w:ascii="Symbol" w:hAnsi="Symbol" w:cs="Symbol" w:hint="default"/>
        <w:rFonts w:cs="Symbol"/>
      </w:rPr>
    </w:lvl>
    <w:lvl w:ilvl="4">
      <w:start w:val="1"/>
      <w:numFmt w:val="bullet"/>
      <w:lvlText w:val="o"/>
      <w:lvlJc w:val="left"/>
      <w:pPr>
        <w:ind w:left="3949" w:hanging="360"/>
      </w:pPr>
      <w:rPr>
        <w:rFonts w:ascii="Courier New" w:hAnsi="Courier New" w:cs="Courier New" w:hint="default"/>
        <w:rFonts w:cs="Courier New"/>
      </w:rPr>
    </w:lvl>
    <w:lvl w:ilvl="5">
      <w:start w:val="1"/>
      <w:numFmt w:val="bullet"/>
      <w:lvlText w:val=""/>
      <w:lvlJc w:val="left"/>
      <w:pPr>
        <w:ind w:left="4669" w:hanging="360"/>
      </w:pPr>
      <w:rPr>
        <w:rFonts w:ascii="Wingdings" w:hAnsi="Wingdings" w:cs="Wingdings" w:hint="default"/>
        <w:rFonts w:cs="Wingdings"/>
      </w:rPr>
    </w:lvl>
    <w:lvl w:ilvl="6">
      <w:start w:val="1"/>
      <w:numFmt w:val="bullet"/>
      <w:lvlText w:val=""/>
      <w:lvlJc w:val="left"/>
      <w:pPr>
        <w:ind w:left="5389" w:hanging="360"/>
      </w:pPr>
      <w:rPr>
        <w:rFonts w:ascii="Symbol" w:hAnsi="Symbol" w:cs="Symbol" w:hint="default"/>
        <w:rFonts w:cs="Symbol"/>
      </w:rPr>
    </w:lvl>
    <w:lvl w:ilvl="7">
      <w:start w:val="1"/>
      <w:numFmt w:val="bullet"/>
      <w:lvlText w:val="o"/>
      <w:lvlJc w:val="left"/>
      <w:pPr>
        <w:ind w:left="6109" w:hanging="360"/>
      </w:pPr>
      <w:rPr>
        <w:rFonts w:ascii="Courier New" w:hAnsi="Courier New" w:cs="Courier New" w:hint="default"/>
        <w:rFonts w:cs="Courier New"/>
      </w:rPr>
    </w:lvl>
    <w:lvl w:ilvl="8">
      <w:start w:val="1"/>
      <w:numFmt w:val="bullet"/>
      <w:lvlText w:val=""/>
      <w:lvlJc w:val="left"/>
      <w:pPr>
        <w:ind w:left="6829" w:hanging="360"/>
      </w:pPr>
      <w:rPr>
        <w:rFonts w:ascii="Wingdings" w:hAnsi="Wingdings" w:cs="Wingdings" w:hint="default"/>
        <w:rFonts w:cs="Wingdings"/>
      </w:rPr>
    </w:lvl>
  </w:abstractNum>
  <w:abstractNum w:abstractNumId="10">
    <w:lvl w:ilvl="0">
      <w:start w:val="1"/>
      <w:numFmt w:val="bullet"/>
      <w:lvlText w:val=""/>
      <w:lvlJc w:val="left"/>
      <w:pPr>
        <w:ind w:left="1069" w:hanging="360"/>
      </w:pPr>
      <w:rPr>
        <w:rFonts w:ascii="Symbol" w:hAnsi="Symbol" w:cs="Symbol" w:hint="default"/>
        <w:rFonts w:cs="Symbol"/>
      </w:rPr>
    </w:lvl>
    <w:lvl w:ilvl="1">
      <w:start w:val="1"/>
      <w:numFmt w:val="bullet"/>
      <w:lvlText w:val="o"/>
      <w:lvlJc w:val="left"/>
      <w:pPr>
        <w:ind w:left="1789" w:hanging="360"/>
      </w:pPr>
      <w:rPr>
        <w:rFonts w:ascii="Courier New" w:hAnsi="Courier New" w:cs="Courier New" w:hint="default"/>
        <w:rFonts w:cs="Courier New"/>
      </w:rPr>
    </w:lvl>
    <w:lvl w:ilvl="2">
      <w:start w:val="1"/>
      <w:numFmt w:val="bullet"/>
      <w:lvlText w:val=""/>
      <w:lvlJc w:val="left"/>
      <w:pPr>
        <w:ind w:left="2509" w:hanging="360"/>
      </w:pPr>
      <w:rPr>
        <w:rFonts w:ascii="Wingdings" w:hAnsi="Wingdings" w:cs="Wingdings" w:hint="default"/>
        <w:rFonts w:cs="Wingdings"/>
      </w:rPr>
    </w:lvl>
    <w:lvl w:ilvl="3">
      <w:start w:val="1"/>
      <w:numFmt w:val="bullet"/>
      <w:lvlText w:val=""/>
      <w:lvlJc w:val="left"/>
      <w:pPr>
        <w:ind w:left="3229" w:hanging="360"/>
      </w:pPr>
      <w:rPr>
        <w:rFonts w:ascii="Symbol" w:hAnsi="Symbol" w:cs="Symbol" w:hint="default"/>
        <w:rFonts w:cs="Symbol"/>
      </w:rPr>
    </w:lvl>
    <w:lvl w:ilvl="4">
      <w:start w:val="1"/>
      <w:numFmt w:val="bullet"/>
      <w:lvlText w:val="o"/>
      <w:lvlJc w:val="left"/>
      <w:pPr>
        <w:ind w:left="3949" w:hanging="360"/>
      </w:pPr>
      <w:rPr>
        <w:rFonts w:ascii="Courier New" w:hAnsi="Courier New" w:cs="Courier New" w:hint="default"/>
        <w:rFonts w:cs="Courier New"/>
      </w:rPr>
    </w:lvl>
    <w:lvl w:ilvl="5">
      <w:start w:val="1"/>
      <w:numFmt w:val="bullet"/>
      <w:lvlText w:val=""/>
      <w:lvlJc w:val="left"/>
      <w:pPr>
        <w:ind w:left="4669" w:hanging="360"/>
      </w:pPr>
      <w:rPr>
        <w:rFonts w:ascii="Wingdings" w:hAnsi="Wingdings" w:cs="Wingdings" w:hint="default"/>
        <w:rFonts w:cs="Wingdings"/>
      </w:rPr>
    </w:lvl>
    <w:lvl w:ilvl="6">
      <w:start w:val="1"/>
      <w:numFmt w:val="bullet"/>
      <w:lvlText w:val=""/>
      <w:lvlJc w:val="left"/>
      <w:pPr>
        <w:ind w:left="5389" w:hanging="360"/>
      </w:pPr>
      <w:rPr>
        <w:rFonts w:ascii="Symbol" w:hAnsi="Symbol" w:cs="Symbol" w:hint="default"/>
        <w:rFonts w:cs="Symbol"/>
      </w:rPr>
    </w:lvl>
    <w:lvl w:ilvl="7">
      <w:start w:val="1"/>
      <w:numFmt w:val="bullet"/>
      <w:lvlText w:val="o"/>
      <w:lvlJc w:val="left"/>
      <w:pPr>
        <w:ind w:left="6109" w:hanging="360"/>
      </w:pPr>
      <w:rPr>
        <w:rFonts w:ascii="Courier New" w:hAnsi="Courier New" w:cs="Courier New" w:hint="default"/>
        <w:rFonts w:cs="Courier New"/>
      </w:rPr>
    </w:lvl>
    <w:lvl w:ilvl="8">
      <w:start w:val="1"/>
      <w:numFmt w:val="bullet"/>
      <w:lvlText w:val=""/>
      <w:lvlJc w:val="left"/>
      <w:pPr>
        <w:ind w:left="6829"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45e60"/>
    <w:pPr>
      <w:widowControl/>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paragraph" w:styleId="Nadpis1">
    <w:name w:val="Heading 1"/>
    <w:basedOn w:val="Normal"/>
    <w:next w:val="Normal"/>
    <w:link w:val="Nadpis1Char"/>
    <w:qFormat/>
    <w:rsid w:val="00d45e60"/>
    <w:pPr>
      <w:keepNext w:val="true"/>
      <w:numPr>
        <w:ilvl w:val="0"/>
        <w:numId w:val="1"/>
      </w:numPr>
      <w:spacing w:before="240" w:after="60"/>
      <w:outlineLvl w:val="0"/>
    </w:pPr>
    <w:rPr>
      <w:rFonts w:ascii="Arial" w:hAnsi="Arial"/>
      <w:b/>
      <w:kern w:val="2"/>
      <w:sz w:val="28"/>
      <w:szCs w:val="20"/>
    </w:rPr>
  </w:style>
  <w:style w:type="paragraph" w:styleId="Nadpis2">
    <w:name w:val="Heading 2"/>
    <w:basedOn w:val="Normal"/>
    <w:next w:val="Normal"/>
    <w:link w:val="Nadpis2Char"/>
    <w:uiPriority w:val="9"/>
    <w:semiHidden/>
    <w:unhideWhenUsed/>
    <w:qFormat/>
    <w:rsid w:val="00b73b5c"/>
    <w:pPr>
      <w:keepNext w:val="true"/>
      <w:keepLines/>
      <w:numPr>
        <w:ilvl w:val="1"/>
        <w:numId w:val="1"/>
      </w:numPr>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dpis3">
    <w:name w:val="Heading 3"/>
    <w:basedOn w:val="Normal"/>
    <w:next w:val="Normal"/>
    <w:link w:val="Nadpis3Char"/>
    <w:uiPriority w:val="9"/>
    <w:semiHidden/>
    <w:unhideWhenUsed/>
    <w:qFormat/>
    <w:rsid w:val="00b73b5c"/>
    <w:pPr>
      <w:keepNext w:val="true"/>
      <w:keepLines/>
      <w:numPr>
        <w:ilvl w:val="2"/>
        <w:numId w:val="1"/>
      </w:numPr>
      <w:spacing w:before="40" w:after="0"/>
      <w:outlineLvl w:val="2"/>
    </w:pPr>
    <w:rPr>
      <w:rFonts w:ascii="Calibri Light" w:hAnsi="Calibri Light" w:eastAsia="" w:cs="" w:asciiTheme="majorHAnsi" w:cstheme="majorBidi" w:eastAsiaTheme="majorEastAsia" w:hAnsiTheme="majorHAnsi"/>
      <w:color w:val="1F4D78" w:themeColor="accent1" w:themeShade="7f"/>
    </w:rPr>
  </w:style>
  <w:style w:type="paragraph" w:styleId="Nadpis4">
    <w:name w:val="Heading 4"/>
    <w:basedOn w:val="Normal"/>
    <w:next w:val="Normal"/>
    <w:link w:val="Nadpis4Char"/>
    <w:uiPriority w:val="9"/>
    <w:semiHidden/>
    <w:unhideWhenUsed/>
    <w:qFormat/>
    <w:rsid w:val="00b73b5c"/>
    <w:pPr>
      <w:keepNext w:val="true"/>
      <w:keepLines/>
      <w:numPr>
        <w:ilvl w:val="3"/>
        <w:numId w:val="1"/>
      </w:numPr>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Nadpis5">
    <w:name w:val="Heading 5"/>
    <w:basedOn w:val="Normal"/>
    <w:next w:val="Normal"/>
    <w:link w:val="Nadpis5Char"/>
    <w:uiPriority w:val="9"/>
    <w:semiHidden/>
    <w:unhideWhenUsed/>
    <w:qFormat/>
    <w:rsid w:val="00b73b5c"/>
    <w:pPr>
      <w:keepNext w:val="true"/>
      <w:keepLines/>
      <w:numPr>
        <w:ilvl w:val="4"/>
        <w:numId w:val="1"/>
      </w:numPr>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Nadpis6">
    <w:name w:val="Heading 6"/>
    <w:basedOn w:val="Normal"/>
    <w:next w:val="Normal"/>
    <w:link w:val="Nadpis6Char"/>
    <w:uiPriority w:val="9"/>
    <w:semiHidden/>
    <w:unhideWhenUsed/>
    <w:qFormat/>
    <w:rsid w:val="00b73b5c"/>
    <w:pPr>
      <w:keepNext w:val="true"/>
      <w:keepLines/>
      <w:numPr>
        <w:ilvl w:val="5"/>
        <w:numId w:val="1"/>
      </w:numPr>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paragraph" w:styleId="Nadpis7">
    <w:name w:val="Heading 7"/>
    <w:basedOn w:val="Normal"/>
    <w:next w:val="Normal"/>
    <w:link w:val="Nadpis7Char"/>
    <w:uiPriority w:val="9"/>
    <w:semiHidden/>
    <w:unhideWhenUsed/>
    <w:qFormat/>
    <w:rsid w:val="00b73b5c"/>
    <w:pPr>
      <w:keepNext w:val="true"/>
      <w:keepLines/>
      <w:numPr>
        <w:ilvl w:val="6"/>
        <w:numId w:val="1"/>
      </w:numPr>
      <w:spacing w:before="40" w:after="0"/>
      <w:outlineLvl w:val="6"/>
    </w:pPr>
    <w:rPr>
      <w:rFonts w:ascii="Calibri Light" w:hAnsi="Calibri Light" w:eastAsia="" w:cs="" w:asciiTheme="majorHAnsi" w:cstheme="majorBidi" w:eastAsiaTheme="majorEastAsia" w:hAnsiTheme="majorHAnsi"/>
      <w:i/>
      <w:iCs/>
      <w:color w:val="1F4D78" w:themeColor="accent1" w:themeShade="7f"/>
    </w:rPr>
  </w:style>
  <w:style w:type="paragraph" w:styleId="Nadpis8">
    <w:name w:val="Heading 8"/>
    <w:basedOn w:val="Normal"/>
    <w:next w:val="Normal"/>
    <w:link w:val="Nadpis8Char"/>
    <w:uiPriority w:val="9"/>
    <w:semiHidden/>
    <w:unhideWhenUsed/>
    <w:qFormat/>
    <w:rsid w:val="00b73b5c"/>
    <w:pPr>
      <w:keepNext w:val="true"/>
      <w:keepLines/>
      <w:numPr>
        <w:ilvl w:val="7"/>
        <w:numId w:val="1"/>
      </w:numPr>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paragraph" w:styleId="Nadpis9">
    <w:name w:val="Heading 9"/>
    <w:basedOn w:val="Normal"/>
    <w:next w:val="Normal"/>
    <w:link w:val="Nadpis9Char"/>
    <w:uiPriority w:val="9"/>
    <w:semiHidden/>
    <w:unhideWhenUsed/>
    <w:qFormat/>
    <w:rsid w:val="00b73b5c"/>
    <w:pPr>
      <w:keepNext w:val="true"/>
      <w:keepLines/>
      <w:numPr>
        <w:ilvl w:val="8"/>
        <w:numId w:val="1"/>
      </w:numPr>
      <w:spacing w:before="40" w:after="0"/>
      <w:outlineLvl w:val="8"/>
    </w:pPr>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qFormat/>
    <w:rsid w:val="00d45e60"/>
    <w:rPr>
      <w:rFonts w:ascii="Arial" w:hAnsi="Arial" w:eastAsia="Times New Roman" w:cs="Times New Roman"/>
      <w:b/>
      <w:kern w:val="2"/>
      <w:sz w:val="28"/>
      <w:szCs w:val="20"/>
      <w:lang w:eastAsia="cs-CZ"/>
    </w:rPr>
  </w:style>
  <w:style w:type="character" w:styleId="Zkladntext2Char" w:customStyle="1">
    <w:name w:val="Základní text 2 Char"/>
    <w:basedOn w:val="DefaultParagraphFont"/>
    <w:link w:val="Zkladntext2"/>
    <w:semiHidden/>
    <w:qFormat/>
    <w:rsid w:val="00d45e60"/>
    <w:rPr>
      <w:rFonts w:ascii="Arial" w:hAnsi="Arial" w:eastAsia="Times New Roman" w:cs="Arial"/>
      <w:b/>
      <w:sz w:val="24"/>
      <w:szCs w:val="24"/>
      <w:lang w:eastAsia="cs-CZ"/>
    </w:rPr>
  </w:style>
  <w:style w:type="character" w:styleId="BezmezerChar" w:customStyle="1">
    <w:name w:val="Bez mezer Char"/>
    <w:link w:val="Bezmezer"/>
    <w:uiPriority w:val="99"/>
    <w:qFormat/>
    <w:locked/>
    <w:rsid w:val="00d45e60"/>
    <w:rPr>
      <w:rFonts w:ascii="Calibri" w:hAnsi="Calibri"/>
    </w:rPr>
  </w:style>
  <w:style w:type="character" w:styleId="OdstavecseseznamemChar" w:customStyle="1">
    <w:name w:val="Odstavec se seznamem Char"/>
    <w:basedOn w:val="DefaultParagraphFont"/>
    <w:link w:val="Odstavecseseznamem"/>
    <w:uiPriority w:val="34"/>
    <w:qFormat/>
    <w:locked/>
    <w:rsid w:val="00d45e60"/>
    <w:rPr>
      <w:rFonts w:ascii="Arial" w:hAnsi="Arial" w:cs="Arial"/>
      <w:szCs w:val="24"/>
    </w:rPr>
  </w:style>
  <w:style w:type="character" w:styleId="Nadpis2Char" w:customStyle="1">
    <w:name w:val="Nadpis 2 Char"/>
    <w:basedOn w:val="DefaultParagraphFont"/>
    <w:link w:val="Nadpis2"/>
    <w:uiPriority w:val="9"/>
    <w:semiHidden/>
    <w:qFormat/>
    <w:rsid w:val="00b73b5c"/>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Nadpis3Char" w:customStyle="1">
    <w:name w:val="Nadpis 3 Char"/>
    <w:basedOn w:val="DefaultParagraphFont"/>
    <w:link w:val="Nadpis3"/>
    <w:uiPriority w:val="9"/>
    <w:semiHidden/>
    <w:qFormat/>
    <w:rsid w:val="00b73b5c"/>
    <w:rPr>
      <w:rFonts w:ascii="Calibri Light" w:hAnsi="Calibri Light" w:eastAsia="" w:cs="" w:asciiTheme="majorHAnsi" w:cstheme="majorBidi" w:eastAsiaTheme="majorEastAsia" w:hAnsiTheme="majorHAnsi"/>
      <w:color w:val="1F4D78" w:themeColor="accent1" w:themeShade="7f"/>
      <w:sz w:val="24"/>
      <w:szCs w:val="24"/>
      <w:lang w:eastAsia="cs-CZ"/>
    </w:rPr>
  </w:style>
  <w:style w:type="character" w:styleId="Nadpis4Char" w:customStyle="1">
    <w:name w:val="Nadpis 4 Char"/>
    <w:basedOn w:val="DefaultParagraphFont"/>
    <w:link w:val="Nadpis4"/>
    <w:uiPriority w:val="9"/>
    <w:semiHidden/>
    <w:qFormat/>
    <w:rsid w:val="00b73b5c"/>
    <w:rPr>
      <w:rFonts w:ascii="Calibri Light" w:hAnsi="Calibri Light" w:eastAsia="" w:cs="" w:asciiTheme="majorHAnsi" w:cstheme="majorBidi" w:eastAsiaTheme="majorEastAsia" w:hAnsiTheme="majorHAnsi"/>
      <w:i/>
      <w:iCs/>
      <w:color w:val="2E74B5" w:themeColor="accent1" w:themeShade="bf"/>
      <w:sz w:val="24"/>
      <w:szCs w:val="24"/>
      <w:lang w:eastAsia="cs-CZ"/>
    </w:rPr>
  </w:style>
  <w:style w:type="character" w:styleId="Nadpis5Char" w:customStyle="1">
    <w:name w:val="Nadpis 5 Char"/>
    <w:basedOn w:val="DefaultParagraphFont"/>
    <w:link w:val="Nadpis5"/>
    <w:uiPriority w:val="9"/>
    <w:semiHidden/>
    <w:qFormat/>
    <w:rsid w:val="00b73b5c"/>
    <w:rPr>
      <w:rFonts w:ascii="Calibri Light" w:hAnsi="Calibri Light" w:eastAsia="" w:cs="" w:asciiTheme="majorHAnsi" w:cstheme="majorBidi" w:eastAsiaTheme="majorEastAsia" w:hAnsiTheme="majorHAnsi"/>
      <w:color w:val="2E74B5" w:themeColor="accent1" w:themeShade="bf"/>
      <w:sz w:val="24"/>
      <w:szCs w:val="24"/>
      <w:lang w:eastAsia="cs-CZ"/>
    </w:rPr>
  </w:style>
  <w:style w:type="character" w:styleId="Nadpis6Char" w:customStyle="1">
    <w:name w:val="Nadpis 6 Char"/>
    <w:basedOn w:val="DefaultParagraphFont"/>
    <w:link w:val="Nadpis6"/>
    <w:uiPriority w:val="9"/>
    <w:semiHidden/>
    <w:qFormat/>
    <w:rsid w:val="00b73b5c"/>
    <w:rPr>
      <w:rFonts w:ascii="Calibri Light" w:hAnsi="Calibri Light" w:eastAsia="" w:cs="" w:asciiTheme="majorHAnsi" w:cstheme="majorBidi" w:eastAsiaTheme="majorEastAsia" w:hAnsiTheme="majorHAnsi"/>
      <w:color w:val="1F4D78" w:themeColor="accent1" w:themeShade="7f"/>
      <w:sz w:val="24"/>
      <w:szCs w:val="24"/>
      <w:lang w:eastAsia="cs-CZ"/>
    </w:rPr>
  </w:style>
  <w:style w:type="character" w:styleId="Nadpis7Char" w:customStyle="1">
    <w:name w:val="Nadpis 7 Char"/>
    <w:basedOn w:val="DefaultParagraphFont"/>
    <w:link w:val="Nadpis7"/>
    <w:uiPriority w:val="9"/>
    <w:semiHidden/>
    <w:qFormat/>
    <w:rsid w:val="00b73b5c"/>
    <w:rPr>
      <w:rFonts w:ascii="Calibri Light" w:hAnsi="Calibri Light" w:eastAsia="" w:cs="" w:asciiTheme="majorHAnsi" w:cstheme="majorBidi" w:eastAsiaTheme="majorEastAsia" w:hAnsiTheme="majorHAnsi"/>
      <w:i/>
      <w:iCs/>
      <w:color w:val="1F4D78" w:themeColor="accent1" w:themeShade="7f"/>
      <w:sz w:val="24"/>
      <w:szCs w:val="24"/>
      <w:lang w:eastAsia="cs-CZ"/>
    </w:rPr>
  </w:style>
  <w:style w:type="character" w:styleId="Nadpis8Char" w:customStyle="1">
    <w:name w:val="Nadpis 8 Char"/>
    <w:basedOn w:val="DefaultParagraphFont"/>
    <w:link w:val="Nadpis8"/>
    <w:uiPriority w:val="9"/>
    <w:semiHidden/>
    <w:qFormat/>
    <w:rsid w:val="00b73b5c"/>
    <w:rPr>
      <w:rFonts w:ascii="Calibri Light" w:hAnsi="Calibri Light" w:eastAsia="" w:cs="" w:asciiTheme="majorHAnsi" w:cstheme="majorBidi" w:eastAsiaTheme="majorEastAsia" w:hAnsiTheme="majorHAnsi"/>
      <w:color w:val="272727" w:themeColor="text1" w:themeTint="d8"/>
      <w:sz w:val="21"/>
      <w:szCs w:val="21"/>
      <w:lang w:eastAsia="cs-CZ"/>
    </w:rPr>
  </w:style>
  <w:style w:type="character" w:styleId="Nadpis9Char" w:customStyle="1">
    <w:name w:val="Nadpis 9 Char"/>
    <w:basedOn w:val="DefaultParagraphFont"/>
    <w:link w:val="Nadpis9"/>
    <w:uiPriority w:val="9"/>
    <w:semiHidden/>
    <w:qFormat/>
    <w:rsid w:val="00b73b5c"/>
    <w:rPr>
      <w:rFonts w:ascii="Calibri Light" w:hAnsi="Calibri Light" w:eastAsia="" w:cs="" w:asciiTheme="majorHAnsi" w:cstheme="majorBidi" w:eastAsiaTheme="majorEastAsia" w:hAnsiTheme="majorHAnsi"/>
      <w:i/>
      <w:iCs/>
      <w:color w:val="272727" w:themeColor="text1" w:themeTint="d8"/>
      <w:sz w:val="21"/>
      <w:szCs w:val="21"/>
      <w:lang w:eastAsia="cs-CZ"/>
    </w:rPr>
  </w:style>
  <w:style w:type="character" w:styleId="ZhlavChar" w:customStyle="1">
    <w:name w:val="Záhlaví Char"/>
    <w:basedOn w:val="DefaultParagraphFont"/>
    <w:link w:val="Zhlav"/>
    <w:qFormat/>
    <w:rsid w:val="00341940"/>
    <w:rPr>
      <w:rFonts w:ascii="Times New Roman" w:hAnsi="Times New Roman" w:eastAsia="Times New Roman" w:cs="Times New Roman"/>
      <w:sz w:val="20"/>
      <w:szCs w:val="20"/>
      <w:lang w:eastAsia="cs-CZ"/>
    </w:rPr>
  </w:style>
  <w:style w:type="character" w:styleId="Zkladntextodsazen3Char" w:customStyle="1">
    <w:name w:val="Základní text odsazený 3 Char"/>
    <w:basedOn w:val="DefaultParagraphFont"/>
    <w:link w:val="Zkladntextodsazen3"/>
    <w:qFormat/>
    <w:rsid w:val="00341940"/>
    <w:rPr>
      <w:rFonts w:ascii="Times New Roman" w:hAnsi="Times New Roman" w:eastAsia="Times New Roman" w:cs="Times New Roman"/>
      <w:sz w:val="16"/>
      <w:szCs w:val="16"/>
      <w:lang w:eastAsia="cs-CZ"/>
    </w:rPr>
  </w:style>
  <w:style w:type="character" w:styleId="ZkladntextodsazenChar" w:customStyle="1">
    <w:name w:val="Základní text odsazený Char"/>
    <w:basedOn w:val="DefaultParagraphFont"/>
    <w:link w:val="Zkladntextodsazen"/>
    <w:qFormat/>
    <w:rsid w:val="00341940"/>
    <w:rPr>
      <w:rFonts w:ascii="Times New Roman" w:hAnsi="Times New Roman" w:eastAsia="Times New Roman" w:cs="Times New Roman"/>
      <w:sz w:val="20"/>
      <w:szCs w:val="20"/>
      <w:lang w:eastAsia="cs-CZ"/>
    </w:rPr>
  </w:style>
  <w:style w:type="character" w:styleId="ZkladntextChar" w:customStyle="1">
    <w:name w:val="Základní text Char"/>
    <w:basedOn w:val="DefaultParagraphFont"/>
    <w:link w:val="Zkladntext"/>
    <w:uiPriority w:val="99"/>
    <w:semiHidden/>
    <w:qFormat/>
    <w:rsid w:val="00705d9f"/>
    <w:rPr>
      <w:rFonts w:ascii="Times New Roman" w:hAnsi="Times New Roman" w:eastAsia="Times New Roman" w:cs="Times New Roman"/>
      <w:sz w:val="24"/>
      <w:szCs w:val="24"/>
      <w:lang w:eastAsia="cs-CZ"/>
    </w:rPr>
  </w:style>
  <w:style w:type="character" w:styleId="TextbublinyChar" w:customStyle="1">
    <w:name w:val="Text bubliny Char"/>
    <w:basedOn w:val="DefaultParagraphFont"/>
    <w:link w:val="Textbubliny"/>
    <w:uiPriority w:val="99"/>
    <w:semiHidden/>
    <w:qFormat/>
    <w:rsid w:val="00705d9f"/>
    <w:rPr>
      <w:rFonts w:ascii="Segoe UI" w:hAnsi="Segoe UI" w:eastAsia="Times New Roman" w:cs="Segoe UI"/>
      <w:sz w:val="18"/>
      <w:szCs w:val="18"/>
      <w:lang w:eastAsia="cs-CZ"/>
    </w:rPr>
  </w:style>
  <w:style w:type="character" w:styleId="Annotationreference">
    <w:name w:val="annotation reference"/>
    <w:basedOn w:val="DefaultParagraphFont"/>
    <w:uiPriority w:val="99"/>
    <w:semiHidden/>
    <w:unhideWhenUsed/>
    <w:qFormat/>
    <w:rsid w:val="00705d9f"/>
    <w:rPr>
      <w:sz w:val="16"/>
      <w:szCs w:val="16"/>
    </w:rPr>
  </w:style>
  <w:style w:type="character" w:styleId="TextkomenteChar" w:customStyle="1">
    <w:name w:val="Text komentáře Char"/>
    <w:basedOn w:val="DefaultParagraphFont"/>
    <w:link w:val="Textkomente"/>
    <w:uiPriority w:val="99"/>
    <w:semiHidden/>
    <w:qFormat/>
    <w:rsid w:val="00705d9f"/>
    <w:rPr>
      <w:rFonts w:ascii="Times New Roman" w:hAnsi="Times New Roman" w:eastAsia="Times New Roman" w:cs="Times New Roman"/>
      <w:sz w:val="20"/>
      <w:szCs w:val="20"/>
      <w:lang w:eastAsia="cs-CZ"/>
    </w:rPr>
  </w:style>
  <w:style w:type="character" w:styleId="PedmtkomenteChar" w:customStyle="1">
    <w:name w:val="Předmět komentáře Char"/>
    <w:basedOn w:val="TextkomenteChar"/>
    <w:link w:val="Pedmtkomente"/>
    <w:uiPriority w:val="99"/>
    <w:semiHidden/>
    <w:qFormat/>
    <w:rsid w:val="00705d9f"/>
    <w:rPr>
      <w:rFonts w:ascii="Times New Roman" w:hAnsi="Times New Roman" w:eastAsia="Times New Roman" w:cs="Times New Roman"/>
      <w:b/>
      <w:bCs/>
      <w:sz w:val="20"/>
      <w:szCs w:val="20"/>
      <w:lang w:eastAsia="cs-CZ"/>
    </w:rPr>
  </w:style>
  <w:style w:type="character" w:styleId="ZpatChar" w:customStyle="1">
    <w:name w:val="Zápatí Char"/>
    <w:basedOn w:val="DefaultParagraphFont"/>
    <w:link w:val="Zpat"/>
    <w:uiPriority w:val="99"/>
    <w:qFormat/>
    <w:rsid w:val="00db1aac"/>
    <w:rPr>
      <w:rFonts w:ascii="Times New Roman" w:hAnsi="Times New Roman" w:eastAsia="Times New Roman" w:cs="Times New Roman"/>
      <w:sz w:val="24"/>
      <w:szCs w:val="24"/>
      <w:lang w:eastAsia="cs-CZ"/>
    </w:rPr>
  </w:style>
  <w:style w:type="character" w:styleId="ListLabel1">
    <w:name w:val="ListLabel 1"/>
    <w:qFormat/>
    <w:rPr>
      <w:rFonts w:cs="Times New Roman"/>
      <w:b/>
    </w:rPr>
  </w:style>
  <w:style w:type="character" w:styleId="ListLabel2">
    <w:name w:val="ListLabel 2"/>
    <w:qFormat/>
    <w:rPr>
      <w:rFonts w:cs="Times New Roman"/>
      <w:b/>
      <w:sz w:val="22"/>
      <w:szCs w:val="22"/>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Times New Roman" w:hAnsi="Times New Roman" w:cs="Times New Roman"/>
      <w:b/>
      <w:sz w:val="28"/>
      <w:szCs w:val="28"/>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i w:val="false"/>
      <w:color w:val="auto"/>
      <w:sz w:val="22"/>
      <w:szCs w:val="22"/>
    </w:rPr>
  </w:style>
  <w:style w:type="character" w:styleId="ListLabel15">
    <w:name w:val="ListLabel 15"/>
    <w:qFormat/>
    <w:rPr>
      <w:rFonts w:cs="Arial"/>
      <w:b w:val="false"/>
      <w:i w:val="false"/>
      <w:strike w:val="false"/>
      <w:dstrike w:val="false"/>
      <w:sz w:val="22"/>
      <w:szCs w:val="22"/>
      <w:u w:val="none"/>
      <w:effect w:val="none"/>
    </w:rPr>
  </w:style>
  <w:style w:type="character" w:styleId="ListLabel16">
    <w:name w:val="ListLabel 16"/>
    <w:qFormat/>
    <w:rPr>
      <w:rFonts w:eastAsia="Times New Roman" w:cs="Arial"/>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Arial"/>
      <w:b w:val="false"/>
      <w:i w:val="false"/>
      <w:strike w:val="false"/>
      <w:dstrike w:val="false"/>
      <w:sz w:val="22"/>
      <w:szCs w:val="22"/>
      <w:u w:val="none"/>
      <w:effect w:val="none"/>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Times New Roman"/>
      <w:b/>
      <w:sz w:val="28"/>
      <w:szCs w:val="28"/>
    </w:rPr>
  </w:style>
  <w:style w:type="character" w:styleId="ListLabel28">
    <w:name w:val="ListLabel 28"/>
    <w:qFormat/>
    <w:rPr>
      <w:b/>
      <w:sz w:val="28"/>
      <w:szCs w:val="28"/>
    </w:rPr>
  </w:style>
  <w:style w:type="character" w:styleId="ListLabel29">
    <w:name w:val="ListLabel 29"/>
    <w:qFormat/>
    <w:rPr>
      <w:b w:val="false"/>
      <w:sz w:val="22"/>
      <w:szCs w:val="22"/>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eastAsia="Times New Roman" w:cs="Times New Roman"/>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sz w:val="22"/>
      <w:szCs w:val="22"/>
    </w:rPr>
  </w:style>
  <w:style w:type="character" w:styleId="ListLabel41">
    <w:name w:val="ListLabel 41"/>
    <w:qFormat/>
    <w:rPr>
      <w:b w:val="false"/>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eastAsia="Times New Roman" w:cs="Times New Roman"/>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eastAsia="Times New Roman" w:cs="Times New Roman"/>
    </w:rPr>
  </w:style>
  <w:style w:type="character" w:styleId="ListLabel70">
    <w:name w:val="ListLabel 70"/>
    <w:qFormat/>
    <w:rPr>
      <w:b/>
    </w:rPr>
  </w:style>
  <w:style w:type="character" w:styleId="ListLabel71">
    <w:name w:val="ListLabel 71"/>
    <w:qFormat/>
    <w:rPr>
      <w:b/>
      <w:sz w:val="22"/>
      <w:szCs w:val="22"/>
    </w:rPr>
  </w:style>
  <w:style w:type="character" w:styleId="ListLabel72">
    <w:name w:val="ListLabel 72"/>
    <w:qFormat/>
    <w:rPr>
      <w:b/>
    </w:rPr>
  </w:style>
  <w:style w:type="character" w:styleId="ListLabel73">
    <w:name w:val="ListLabel 73"/>
    <w:qFormat/>
    <w:rPr>
      <w:b/>
    </w:rPr>
  </w:style>
  <w:style w:type="character" w:styleId="ListLabel74">
    <w:name w:val="ListLabel 74"/>
    <w:qFormat/>
    <w:rPr>
      <w:b/>
    </w:rPr>
  </w:style>
  <w:style w:type="character" w:styleId="ListLabel75">
    <w:name w:val="ListLabel 75"/>
    <w:qFormat/>
    <w:rPr>
      <w:b/>
    </w:rPr>
  </w:style>
  <w:style w:type="character" w:styleId="ListLabel76">
    <w:name w:val="ListLabel 76"/>
    <w:qFormat/>
    <w:rPr>
      <w:b/>
    </w:rPr>
  </w:style>
  <w:style w:type="character" w:styleId="ListLabel77">
    <w:name w:val="ListLabel 77"/>
    <w:qFormat/>
    <w:rPr>
      <w:b/>
    </w:rPr>
  </w:style>
  <w:style w:type="character" w:styleId="ListLabel78">
    <w:name w:val="ListLabel 78"/>
    <w:qFormat/>
    <w:rPr>
      <w:b/>
    </w:rPr>
  </w:style>
  <w:style w:type="character" w:styleId="ListLabel79">
    <w:name w:val="ListLabel 79"/>
    <w:qFormat/>
    <w:rPr>
      <w:rFonts w:ascii="Times New Roman" w:hAnsi="Times New Roman" w:cs="Times New Roman"/>
      <w:b/>
      <w:sz w:val="28"/>
      <w:szCs w:val="28"/>
    </w:rPr>
  </w:style>
  <w:style w:type="character" w:styleId="ListLabel80">
    <w:name w:val="ListLabel 80"/>
    <w:qFormat/>
    <w:rPr>
      <w:rFonts w:cs="Symbol"/>
      <w:sz w:val="22"/>
    </w:rPr>
  </w:style>
  <w:style w:type="character" w:styleId="ListLabel81">
    <w:name w:val="ListLabel 81"/>
    <w:qFormat/>
    <w:rPr>
      <w:rFonts w:ascii="Times New Roman" w:hAnsi="Times New Roman"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ascii="Times New Roman" w:hAnsi="Times New Roman" w:cs="Symbol"/>
      <w:b/>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cs="Symbol"/>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cs="Symbol"/>
    </w:rPr>
  </w:style>
  <w:style w:type="character" w:styleId="ListLabel97">
    <w:name w:val="ListLabel 97"/>
    <w:qFormat/>
    <w:rPr>
      <w:rFonts w:cs="Courier New"/>
    </w:rPr>
  </w:style>
  <w:style w:type="character" w:styleId="ListLabel98">
    <w:name w:val="ListLabel 98"/>
    <w:qFormat/>
    <w:rPr>
      <w:rFonts w:cs="Wingdings"/>
    </w:rPr>
  </w:style>
  <w:style w:type="character" w:styleId="ListLabel99">
    <w:name w:val="ListLabel 99"/>
    <w:qFormat/>
    <w:rPr>
      <w:rFonts w:ascii="Times New Roman" w:hAnsi="Times New Roman" w:cs="Symbol"/>
      <w:b/>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Symbol"/>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ascii="Times New Roman" w:hAnsi="Times New Roman" w:cs="Symbol"/>
    </w:rPr>
  </w:style>
  <w:style w:type="character" w:styleId="ListLabel109">
    <w:name w:val="ListLabel 109"/>
    <w:qFormat/>
    <w:rPr>
      <w:rFonts w:cs="Courier New"/>
    </w:rPr>
  </w:style>
  <w:style w:type="character" w:styleId="ListLabel110">
    <w:name w:val="ListLabel 110"/>
    <w:qFormat/>
    <w:rPr>
      <w:rFonts w:cs="Wingdings"/>
    </w:rPr>
  </w:style>
  <w:style w:type="character" w:styleId="ListLabel111">
    <w:name w:val="ListLabel 111"/>
    <w:qFormat/>
    <w:rPr>
      <w:rFonts w:cs="Symbol"/>
    </w:rPr>
  </w:style>
  <w:style w:type="character" w:styleId="ListLabel112">
    <w:name w:val="ListLabel 112"/>
    <w:qFormat/>
    <w:rPr>
      <w:rFonts w:cs="Courier New"/>
    </w:rPr>
  </w:style>
  <w:style w:type="character" w:styleId="ListLabel113">
    <w:name w:val="ListLabel 113"/>
    <w:qFormat/>
    <w:rPr>
      <w:rFonts w:cs="Wingdings"/>
    </w:rPr>
  </w:style>
  <w:style w:type="character" w:styleId="ListLabel114">
    <w:name w:val="ListLabel 114"/>
    <w:qFormat/>
    <w:rPr>
      <w:rFonts w:cs="Symbol"/>
    </w:rPr>
  </w:style>
  <w:style w:type="character" w:styleId="ListLabel115">
    <w:name w:val="ListLabel 115"/>
    <w:qFormat/>
    <w:rPr>
      <w:rFonts w:cs="Courier New"/>
    </w:rPr>
  </w:style>
  <w:style w:type="character" w:styleId="ListLabel116">
    <w:name w:val="ListLabel 116"/>
    <w:qFormat/>
    <w:rPr>
      <w:rFonts w:cs="Wingdings"/>
    </w:rPr>
  </w:style>
  <w:style w:type="character" w:styleId="ListLabel117">
    <w:name w:val="ListLabel 117"/>
    <w:qFormat/>
    <w:rPr>
      <w:rFonts w:ascii="Times New Roman" w:hAnsi="Times New Roman" w:cs="Symbol"/>
    </w:rPr>
  </w:style>
  <w:style w:type="character" w:styleId="ListLabel118">
    <w:name w:val="ListLabel 118"/>
    <w:qFormat/>
    <w:rPr>
      <w:rFonts w:cs="Courier New"/>
    </w:rPr>
  </w:style>
  <w:style w:type="character" w:styleId="ListLabel119">
    <w:name w:val="ListLabel 119"/>
    <w:qFormat/>
    <w:rPr>
      <w:rFonts w:cs="Wingdings"/>
    </w:rPr>
  </w:style>
  <w:style w:type="character" w:styleId="ListLabel120">
    <w:name w:val="ListLabel 120"/>
    <w:qFormat/>
    <w:rPr>
      <w:rFonts w:cs="Symbol"/>
    </w:rPr>
  </w:style>
  <w:style w:type="character" w:styleId="ListLabel121">
    <w:name w:val="ListLabel 121"/>
    <w:qFormat/>
    <w:rPr>
      <w:rFonts w:cs="Courier New"/>
    </w:rPr>
  </w:style>
  <w:style w:type="character" w:styleId="ListLabel122">
    <w:name w:val="ListLabel 122"/>
    <w:qFormat/>
    <w:rPr>
      <w:rFonts w:cs="Wingdings"/>
    </w:rPr>
  </w:style>
  <w:style w:type="character" w:styleId="ListLabel123">
    <w:name w:val="ListLabel 123"/>
    <w:qFormat/>
    <w:rPr>
      <w:rFonts w:cs="Symbol"/>
    </w:rPr>
  </w:style>
  <w:style w:type="character" w:styleId="ListLabel124">
    <w:name w:val="ListLabel 124"/>
    <w:qFormat/>
    <w:rPr>
      <w:rFonts w:cs="Courier New"/>
    </w:rPr>
  </w:style>
  <w:style w:type="character" w:styleId="ListLabel125">
    <w:name w:val="ListLabel 125"/>
    <w:qFormat/>
    <w:rPr>
      <w:rFonts w:cs="Wingding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iPriority w:val="99"/>
    <w:semiHidden/>
    <w:unhideWhenUsed/>
    <w:rsid w:val="00705d9f"/>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BodyText2">
    <w:name w:val="Body Text 2"/>
    <w:basedOn w:val="Normal"/>
    <w:link w:val="Zkladntext2Char"/>
    <w:semiHidden/>
    <w:unhideWhenUsed/>
    <w:qFormat/>
    <w:rsid w:val="00d45e60"/>
    <w:pPr>
      <w:jc w:val="center"/>
    </w:pPr>
    <w:rPr>
      <w:rFonts w:ascii="Arial" w:hAnsi="Arial" w:cs="Arial"/>
      <w:b/>
    </w:rPr>
  </w:style>
  <w:style w:type="paragraph" w:styleId="NoSpacing">
    <w:name w:val="No Spacing"/>
    <w:link w:val="BezmezerChar"/>
    <w:uiPriority w:val="99"/>
    <w:qFormat/>
    <w:rsid w:val="00d45e60"/>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4"/>
      <w:szCs w:val="22"/>
      <w:lang w:val="cs-CZ" w:eastAsia="en-US" w:bidi="ar-SA"/>
    </w:rPr>
  </w:style>
  <w:style w:type="paragraph" w:styleId="ListParagraph">
    <w:name w:val="List Paragraph"/>
    <w:basedOn w:val="Normal"/>
    <w:link w:val="OdstavecseseznamemChar"/>
    <w:uiPriority w:val="34"/>
    <w:qFormat/>
    <w:rsid w:val="00d45e60"/>
    <w:pPr>
      <w:spacing w:before="0" w:after="0"/>
      <w:ind w:left="720" w:hanging="0"/>
      <w:contextualSpacing/>
    </w:pPr>
    <w:rPr>
      <w:rFonts w:ascii="Arial" w:hAnsi="Arial" w:eastAsia="Calibri" w:cs="Arial" w:eastAsiaTheme="minorHAnsi"/>
      <w:sz w:val="22"/>
      <w:lang w:eastAsia="en-US"/>
    </w:rPr>
  </w:style>
  <w:style w:type="paragraph" w:styleId="Odstavec1" w:customStyle="1">
    <w:name w:val="Odstavec 1."/>
    <w:basedOn w:val="Normal"/>
    <w:uiPriority w:val="99"/>
    <w:qFormat/>
    <w:rsid w:val="00d45e60"/>
    <w:pPr>
      <w:keepNext w:val="true"/>
      <w:spacing w:before="360" w:after="120"/>
    </w:pPr>
    <w:rPr>
      <w:rFonts w:ascii="Calibri" w:hAnsi="Calibri"/>
      <w:b/>
      <w:bCs/>
    </w:rPr>
  </w:style>
  <w:style w:type="paragraph" w:styleId="Odstavec11" w:customStyle="1">
    <w:name w:val="Odstavec 1.1"/>
    <w:basedOn w:val="Normal"/>
    <w:uiPriority w:val="99"/>
    <w:qFormat/>
    <w:rsid w:val="00d45e60"/>
    <w:pPr>
      <w:spacing w:before="120" w:after="120"/>
    </w:pPr>
    <w:rPr>
      <w:rFonts w:ascii="Calibri" w:hAnsi="Calibri"/>
      <w:sz w:val="20"/>
    </w:rPr>
  </w:style>
  <w:style w:type="paragraph" w:styleId="Zhlav">
    <w:name w:val="Header"/>
    <w:basedOn w:val="Normal"/>
    <w:link w:val="ZhlavChar"/>
    <w:rsid w:val="00341940"/>
    <w:pPr>
      <w:tabs>
        <w:tab w:val="clear" w:pos="709"/>
        <w:tab w:val="center" w:pos="4536" w:leader="none"/>
        <w:tab w:val="right" w:pos="9072" w:leader="none"/>
      </w:tabs>
    </w:pPr>
    <w:rPr>
      <w:sz w:val="20"/>
      <w:szCs w:val="20"/>
    </w:rPr>
  </w:style>
  <w:style w:type="paragraph" w:styleId="BodyTextIndent3">
    <w:name w:val="Body Text Indent 3"/>
    <w:basedOn w:val="Normal"/>
    <w:link w:val="Zkladntextodsazen3Char"/>
    <w:qFormat/>
    <w:rsid w:val="00341940"/>
    <w:pPr>
      <w:widowControl w:val="false"/>
      <w:spacing w:before="0" w:after="120"/>
      <w:ind w:left="283" w:hanging="0"/>
    </w:pPr>
    <w:rPr>
      <w:sz w:val="16"/>
      <w:szCs w:val="16"/>
    </w:rPr>
  </w:style>
  <w:style w:type="paragraph" w:styleId="Odsazentlatextu">
    <w:name w:val="Body Text Indent"/>
    <w:basedOn w:val="Normal"/>
    <w:link w:val="ZkladntextodsazenChar"/>
    <w:rsid w:val="00341940"/>
    <w:pPr>
      <w:widowControl w:val="false"/>
      <w:spacing w:before="0" w:after="120"/>
      <w:ind w:left="283" w:hanging="0"/>
    </w:pPr>
    <w:rPr>
      <w:sz w:val="20"/>
      <w:szCs w:val="20"/>
    </w:rPr>
  </w:style>
  <w:style w:type="paragraph" w:styleId="Nadpislnku" w:customStyle="1">
    <w:name w:val="Nadpis článku"/>
    <w:next w:val="Tlotextu"/>
    <w:qFormat/>
    <w:rsid w:val="00705d9f"/>
    <w:pPr>
      <w:widowControl w:val="false"/>
      <w:tabs>
        <w:tab w:val="clear" w:pos="709"/>
        <w:tab w:val="left" w:pos="283" w:leader="none"/>
      </w:tabs>
      <w:bidi w:val="0"/>
      <w:spacing w:lineRule="atLeast" w:line="220" w:before="0" w:after="198"/>
      <w:jc w:val="center"/>
    </w:pPr>
    <w:rPr>
      <w:rFonts w:ascii="Times New Roman" w:hAnsi="Times New Roman" w:eastAsia="Times New Roman" w:cs="Times New Roman"/>
      <w:b/>
      <w:bCs/>
      <w:color w:val="000000"/>
      <w:kern w:val="0"/>
      <w:sz w:val="18"/>
      <w:szCs w:val="18"/>
      <w:lang w:val="cs-CZ" w:eastAsia="cs-CZ" w:bidi="ar-SA"/>
    </w:rPr>
  </w:style>
  <w:style w:type="paragraph" w:styleId="BalloonText">
    <w:name w:val="Balloon Text"/>
    <w:basedOn w:val="Normal"/>
    <w:link w:val="TextbublinyChar"/>
    <w:uiPriority w:val="99"/>
    <w:semiHidden/>
    <w:unhideWhenUsed/>
    <w:qFormat/>
    <w:rsid w:val="00705d9f"/>
    <w:pPr/>
    <w:rPr>
      <w:rFonts w:ascii="Segoe UI" w:hAnsi="Segoe UI" w:cs="Segoe UI"/>
      <w:sz w:val="18"/>
      <w:szCs w:val="18"/>
    </w:rPr>
  </w:style>
  <w:style w:type="paragraph" w:styleId="Annotationtext">
    <w:name w:val="annotation text"/>
    <w:basedOn w:val="Normal"/>
    <w:link w:val="TextkomenteChar"/>
    <w:uiPriority w:val="99"/>
    <w:semiHidden/>
    <w:unhideWhenUsed/>
    <w:qFormat/>
    <w:rsid w:val="00705d9f"/>
    <w:pPr/>
    <w:rPr>
      <w:sz w:val="20"/>
      <w:szCs w:val="20"/>
    </w:rPr>
  </w:style>
  <w:style w:type="paragraph" w:styleId="Annotationsubject">
    <w:name w:val="annotation subject"/>
    <w:basedOn w:val="Annotationtext"/>
    <w:next w:val="Annotationtext"/>
    <w:link w:val="PedmtkomenteChar"/>
    <w:uiPriority w:val="99"/>
    <w:semiHidden/>
    <w:unhideWhenUsed/>
    <w:qFormat/>
    <w:rsid w:val="00705d9f"/>
    <w:pPr/>
    <w:rPr>
      <w:b/>
      <w:bCs/>
    </w:rPr>
  </w:style>
  <w:style w:type="paragraph" w:styleId="Revision">
    <w:name w:val="Revision"/>
    <w:uiPriority w:val="99"/>
    <w:semiHidden/>
    <w:qFormat/>
    <w:rsid w:val="00cf252a"/>
    <w:pPr>
      <w:widowControl/>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paragraph" w:styleId="Zpat">
    <w:name w:val="Footer"/>
    <w:basedOn w:val="Normal"/>
    <w:link w:val="ZpatChar"/>
    <w:uiPriority w:val="99"/>
    <w:unhideWhenUsed/>
    <w:rsid w:val="00db1aac"/>
    <w:pPr>
      <w:tabs>
        <w:tab w:val="clear" w:pos="709"/>
        <w:tab w:val="center" w:pos="4536" w:leader="none"/>
        <w:tab w:val="right" w:pos="9072" w:leader="none"/>
      </w:tabs>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98134-7A09-477C-B708-343BBD73D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Application>LibreOffice/6.2.0.3$Windows_X86_64 LibreOffice_project/98c6a8a1c6c7b144ce3cc729e34964b47ce25d62</Application>
  <Pages>11</Pages>
  <Words>4630</Words>
  <Characters>27269</Characters>
  <CharactersWithSpaces>32288</CharactersWithSpaces>
  <Paragraphs>229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2018-02-21T11:48:00Z</dcterms:created>
  <dc:creator>Hana Peštálová</dc:creator>
  <dc:description/>
  <dc:language>cs-CZ</dc:language>
  <cp:lastModifiedBy/>
  <cp:lastPrinted>2018-07-31T08:07:00Z</cp:lastPrinted>
  <dcterms:modified xsi:type="dcterms:W3CDTF">2021-02-15T14:35:49Z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